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2A1D" w:rsidRPr="00DA640D" w:rsidRDefault="00BF2A1D" w:rsidP="00E2633F">
      <w:pPr>
        <w:pBdr>
          <w:top w:val="single" w:sz="4" w:space="1" w:color="auto"/>
          <w:left w:val="single" w:sz="4" w:space="4" w:color="auto"/>
          <w:bottom w:val="single" w:sz="4" w:space="1" w:color="auto"/>
          <w:right w:val="single" w:sz="4" w:space="4" w:color="auto"/>
        </w:pBdr>
        <w:shd w:val="pct10" w:color="auto" w:fill="auto"/>
        <w:jc w:val="center"/>
        <w:rPr>
          <w:b/>
          <w:sz w:val="24"/>
          <w:szCs w:val="24"/>
          <w:u w:val="single"/>
        </w:rPr>
      </w:pPr>
      <w:r w:rsidRPr="00DA640D">
        <w:rPr>
          <w:b/>
          <w:sz w:val="24"/>
          <w:szCs w:val="24"/>
          <w:u w:val="single"/>
        </w:rPr>
        <w:t>List of eligible countries and territories referred in section 2.1.1 of the guidelines</w:t>
      </w:r>
    </w:p>
    <w:p w:rsidR="00BF2A1D" w:rsidRPr="00DA640D" w:rsidRDefault="00BF2A1D" w:rsidP="00BF2A1D">
      <w:pPr>
        <w:jc w:val="center"/>
        <w:rPr>
          <w:b/>
          <w:sz w:val="24"/>
          <w:szCs w:val="24"/>
          <w:u w:val="single"/>
        </w:rPr>
      </w:pPr>
    </w:p>
    <w:p w:rsidR="00BF2A1D" w:rsidRPr="00DA640D" w:rsidRDefault="00BF2A1D" w:rsidP="00BF2A1D">
      <w:pPr>
        <w:numPr>
          <w:ilvl w:val="1"/>
          <w:numId w:val="1"/>
        </w:numPr>
        <w:jc w:val="left"/>
        <w:rPr>
          <w:sz w:val="24"/>
          <w:szCs w:val="24"/>
        </w:rPr>
      </w:pPr>
      <w:r w:rsidRPr="00DA640D">
        <w:rPr>
          <w:sz w:val="24"/>
          <w:szCs w:val="24"/>
          <w:u w:val="single"/>
        </w:rPr>
        <w:t xml:space="preserve">Member States of the European Union </w:t>
      </w:r>
      <w:bookmarkStart w:id="0" w:name="_Toc423007521"/>
      <w:bookmarkStart w:id="1" w:name="_Toc423007703"/>
      <w:r w:rsidRPr="00DA640D">
        <w:rPr>
          <w:sz w:val="24"/>
          <w:szCs w:val="24"/>
        </w:rPr>
        <w:t>:</w:t>
      </w:r>
      <w:r w:rsidRPr="00DA640D">
        <w:rPr>
          <w:sz w:val="24"/>
          <w:szCs w:val="24"/>
        </w:rPr>
        <w:br/>
      </w:r>
      <w:r w:rsidRPr="00DA640D">
        <w:rPr>
          <w:sz w:val="24"/>
          <w:szCs w:val="24"/>
        </w:rPr>
        <w:br/>
      </w:r>
      <w:r w:rsidRPr="00DA640D">
        <w:rPr>
          <w:snapToGrid w:val="0"/>
          <w:sz w:val="24"/>
          <w:szCs w:val="24"/>
        </w:rPr>
        <w:t>Austria, Belgium, Bulgaria, Czech</w:t>
      </w:r>
      <w:bookmarkStart w:id="2" w:name="_GoBack"/>
      <w:bookmarkEnd w:id="2"/>
      <w:r w:rsidRPr="00DA640D">
        <w:rPr>
          <w:snapToGrid w:val="0"/>
          <w:sz w:val="24"/>
          <w:szCs w:val="24"/>
        </w:rPr>
        <w:t xml:space="preserve"> Republic, Croatia, Cyprus, Denmark, Estonia, Finland, France, Germany, Greece, Hungary, Ireland, Italy, Latvia, Lithuania, Luxembourg, Malta, Netherlands, Poland, Portugal, Romania, Slovakia, Slovenia, Spain, Sweden, United Kingdom</w:t>
      </w:r>
      <w:bookmarkEnd w:id="0"/>
      <w:bookmarkEnd w:id="1"/>
      <w:r w:rsidRPr="00DA640D">
        <w:rPr>
          <w:snapToGrid w:val="0"/>
          <w:sz w:val="24"/>
          <w:szCs w:val="24"/>
        </w:rPr>
        <w:t xml:space="preserve"> </w:t>
      </w:r>
    </w:p>
    <w:p w:rsidR="00BF2A1D" w:rsidRPr="00DA640D" w:rsidRDefault="00BF2A1D" w:rsidP="00BF2A1D">
      <w:pPr>
        <w:numPr>
          <w:ilvl w:val="1"/>
          <w:numId w:val="1"/>
        </w:numPr>
        <w:jc w:val="left"/>
        <w:rPr>
          <w:sz w:val="24"/>
          <w:szCs w:val="24"/>
        </w:rPr>
      </w:pPr>
      <w:r w:rsidRPr="00DA640D">
        <w:rPr>
          <w:sz w:val="24"/>
          <w:szCs w:val="24"/>
          <w:u w:val="single"/>
        </w:rPr>
        <w:t xml:space="preserve">Non-EU countries of the European Economic Area: </w:t>
      </w:r>
      <w:r w:rsidRPr="00DA640D">
        <w:rPr>
          <w:sz w:val="24"/>
          <w:szCs w:val="24"/>
          <w:u w:val="single"/>
        </w:rPr>
        <w:br/>
      </w:r>
      <w:r w:rsidRPr="00DA640D">
        <w:rPr>
          <w:snapToGrid w:val="0"/>
          <w:sz w:val="24"/>
          <w:szCs w:val="24"/>
        </w:rPr>
        <w:br/>
        <w:t>Iceland, Liechtenstein, Norway</w:t>
      </w:r>
    </w:p>
    <w:p w:rsidR="00BF2A1D" w:rsidRPr="00DA640D" w:rsidRDefault="00BF2A1D" w:rsidP="00BF2A1D">
      <w:pPr>
        <w:numPr>
          <w:ilvl w:val="1"/>
          <w:numId w:val="1"/>
        </w:numPr>
        <w:jc w:val="left"/>
        <w:rPr>
          <w:sz w:val="24"/>
          <w:szCs w:val="24"/>
        </w:rPr>
      </w:pPr>
      <w:bookmarkStart w:id="3" w:name="_DV_C357"/>
      <w:r w:rsidRPr="00DA640D">
        <w:rPr>
          <w:sz w:val="24"/>
          <w:szCs w:val="24"/>
          <w:u w:val="single"/>
        </w:rPr>
        <w:t>IPA</w:t>
      </w:r>
      <w:bookmarkStart w:id="4" w:name="_DV_M224"/>
      <w:bookmarkEnd w:id="3"/>
      <w:bookmarkEnd w:id="4"/>
      <w:r w:rsidRPr="00DA640D">
        <w:rPr>
          <w:sz w:val="24"/>
          <w:szCs w:val="24"/>
          <w:u w:val="single"/>
        </w:rPr>
        <w:t xml:space="preserve"> II beneficiary countries :</w:t>
      </w:r>
      <w:r w:rsidRPr="00DA640D">
        <w:rPr>
          <w:sz w:val="24"/>
          <w:szCs w:val="24"/>
        </w:rPr>
        <w:t xml:space="preserve"> </w:t>
      </w:r>
      <w:r w:rsidRPr="00DA640D">
        <w:rPr>
          <w:sz w:val="24"/>
          <w:szCs w:val="24"/>
        </w:rPr>
        <w:br/>
      </w:r>
      <w:r w:rsidRPr="00DA640D">
        <w:rPr>
          <w:sz w:val="24"/>
          <w:szCs w:val="24"/>
        </w:rPr>
        <w:br/>
      </w:r>
      <w:r w:rsidRPr="00DA640D">
        <w:rPr>
          <w:snapToGrid w:val="0"/>
          <w:sz w:val="24"/>
          <w:szCs w:val="24"/>
        </w:rPr>
        <w:t>Albania, Bosnia and Herzegovina, Kosovo, Montenegro, Serbia, Turkey, the former Yugoslav Republic of Macedonia</w:t>
      </w:r>
    </w:p>
    <w:p w:rsidR="00BF2A1D" w:rsidRPr="00DA640D" w:rsidRDefault="00BF2A1D" w:rsidP="00BF2A1D">
      <w:pPr>
        <w:numPr>
          <w:ilvl w:val="1"/>
          <w:numId w:val="1"/>
        </w:numPr>
        <w:rPr>
          <w:sz w:val="24"/>
          <w:szCs w:val="24"/>
        </w:rPr>
      </w:pPr>
      <w:r w:rsidRPr="00DA640D">
        <w:rPr>
          <w:sz w:val="24"/>
          <w:szCs w:val="24"/>
          <w:u w:val="single"/>
        </w:rPr>
        <w:t>Developing countries and territories,</w:t>
      </w:r>
      <w:bookmarkStart w:id="5" w:name="_DV_C361"/>
      <w:r w:rsidRPr="00DA640D">
        <w:rPr>
          <w:noProof/>
          <w:sz w:val="24"/>
          <w:szCs w:val="24"/>
        </w:rPr>
        <w:t xml:space="preserve"> (included</w:t>
      </w:r>
      <w:r w:rsidRPr="00DA640D">
        <w:rPr>
          <w:sz w:val="24"/>
          <w:szCs w:val="24"/>
        </w:rPr>
        <w:t xml:space="preserve"> in the OECD-DAC list of ODA recipients</w:t>
      </w:r>
      <w:bookmarkStart w:id="6" w:name="_DV_M227"/>
      <w:bookmarkEnd w:id="5"/>
      <w:bookmarkEnd w:id="6"/>
      <w:r w:rsidRPr="00DA640D">
        <w:rPr>
          <w:sz w:val="24"/>
          <w:szCs w:val="24"/>
        </w:rPr>
        <w:t>)</w:t>
      </w:r>
      <w:r w:rsidRPr="00DA640D">
        <w:rPr>
          <w:noProof/>
          <w:sz w:val="24"/>
          <w:szCs w:val="24"/>
        </w:rPr>
        <w:t xml:space="preserve">, </w:t>
      </w:r>
      <w:bookmarkStart w:id="7" w:name="NON_G20_DEVELOPING_COUNTRIES"/>
      <w:r w:rsidRPr="00DA640D">
        <w:rPr>
          <w:noProof/>
          <w:sz w:val="24"/>
          <w:szCs w:val="24"/>
        </w:rPr>
        <w:t>which are not member of the G20 group</w:t>
      </w:r>
      <w:bookmarkEnd w:id="7"/>
      <w:r w:rsidRPr="00DA640D">
        <w:rPr>
          <w:b/>
          <w:noProof/>
          <w:sz w:val="24"/>
          <w:szCs w:val="24"/>
        </w:rPr>
        <w:t>,</w:t>
      </w:r>
      <w:r w:rsidRPr="00DA640D">
        <w:rPr>
          <w:noProof/>
          <w:sz w:val="24"/>
          <w:szCs w:val="24"/>
        </w:rPr>
        <w:t xml:space="preserve"> </w:t>
      </w:r>
    </w:p>
    <w:p w:rsidR="00BF2A1D" w:rsidRPr="00DA640D" w:rsidRDefault="00BF2A1D" w:rsidP="00BF2A1D">
      <w:pPr>
        <w:numPr>
          <w:ilvl w:val="2"/>
          <w:numId w:val="1"/>
        </w:numPr>
        <w:rPr>
          <w:sz w:val="24"/>
          <w:szCs w:val="24"/>
        </w:rPr>
      </w:pPr>
      <w:r w:rsidRPr="00DA640D">
        <w:rPr>
          <w:i/>
          <w:noProof/>
          <w:sz w:val="24"/>
          <w:szCs w:val="24"/>
        </w:rPr>
        <w:t>Least Developed Countries</w:t>
      </w:r>
      <w:r w:rsidRPr="00DA640D">
        <w:rPr>
          <w:noProof/>
          <w:sz w:val="24"/>
          <w:szCs w:val="24"/>
        </w:rPr>
        <w:t xml:space="preserve"> (LDCs) : </w:t>
      </w:r>
      <w:r w:rsidRPr="00DA640D">
        <w:rPr>
          <w:color w:val="000000"/>
          <w:sz w:val="24"/>
          <w:szCs w:val="24"/>
          <w:lang w:eastAsia="en-GB"/>
        </w:rPr>
        <w:t xml:space="preserve">Afghanistan, Angola, Bangladesh, Benin, Bhutan, Burkina Faso, Burundi, Cambodia, Central African Republic, Chad, Comoros, Democratic Republic of the Congo, Djibouti, Equatorial Guinea, Eritrea, Ethiopia, Gambia, Guinea, Guinea-Bissau, Haiti, Kiribati, </w:t>
      </w:r>
      <w:r w:rsidRPr="00DA640D">
        <w:rPr>
          <w:sz w:val="24"/>
          <w:szCs w:val="24"/>
          <w:lang w:eastAsia="en-GB"/>
        </w:rPr>
        <w:t>Lao People's Democratic Republic</w:t>
      </w:r>
      <w:r w:rsidRPr="00DA640D">
        <w:rPr>
          <w:color w:val="000000"/>
          <w:sz w:val="24"/>
          <w:szCs w:val="24"/>
          <w:lang w:eastAsia="en-GB"/>
        </w:rPr>
        <w:t>, Lesotho, Liberia, Madagascar, Malawi, Mali, Mauritania, Mozambique, Myanmar, Nepal, Niger, Rwanda, Sao Tome &amp; Principe, Senegal, Sierra Leone, Solomon Islands, Somalia, Sudan, South Sudan, Tanzania, Timor-Leste, Togo, Tuvalu, Uganda, Vanuatu, Yemen, Zambia.</w:t>
      </w:r>
    </w:p>
    <w:p w:rsidR="00BF2A1D" w:rsidRPr="00DA640D" w:rsidRDefault="00BF2A1D" w:rsidP="00BF2A1D">
      <w:pPr>
        <w:numPr>
          <w:ilvl w:val="2"/>
          <w:numId w:val="1"/>
        </w:numPr>
        <w:rPr>
          <w:sz w:val="24"/>
          <w:szCs w:val="24"/>
        </w:rPr>
      </w:pPr>
      <w:r w:rsidRPr="00DA640D">
        <w:rPr>
          <w:i/>
          <w:noProof/>
          <w:sz w:val="24"/>
          <w:szCs w:val="24"/>
        </w:rPr>
        <w:t>Other Low Income Countries</w:t>
      </w:r>
      <w:r w:rsidRPr="00DA640D">
        <w:rPr>
          <w:noProof/>
          <w:sz w:val="24"/>
          <w:szCs w:val="24"/>
        </w:rPr>
        <w:t xml:space="preserve"> : </w:t>
      </w:r>
      <w:r w:rsidRPr="00DA640D">
        <w:rPr>
          <w:color w:val="000000"/>
          <w:sz w:val="24"/>
          <w:szCs w:val="24"/>
          <w:lang w:eastAsia="en-GB"/>
        </w:rPr>
        <w:t>Kenya, Democratic People’s Republic of Korea, Tajikistan, Zimbabwe.</w:t>
      </w:r>
    </w:p>
    <w:p w:rsidR="00BF2A1D" w:rsidRPr="00DA640D" w:rsidRDefault="00BF2A1D" w:rsidP="00BF2A1D">
      <w:pPr>
        <w:numPr>
          <w:ilvl w:val="2"/>
          <w:numId w:val="1"/>
        </w:numPr>
        <w:rPr>
          <w:sz w:val="24"/>
          <w:szCs w:val="24"/>
        </w:rPr>
      </w:pPr>
      <w:r w:rsidRPr="00DA640D">
        <w:rPr>
          <w:i/>
          <w:noProof/>
          <w:sz w:val="24"/>
          <w:szCs w:val="24"/>
        </w:rPr>
        <w:t>Lower Middle Income Countries and Territories</w:t>
      </w:r>
      <w:r w:rsidRPr="00DA640D">
        <w:rPr>
          <w:noProof/>
          <w:sz w:val="24"/>
          <w:szCs w:val="24"/>
        </w:rPr>
        <w:t xml:space="preserve"> : </w:t>
      </w:r>
      <w:r w:rsidRPr="00DA640D">
        <w:rPr>
          <w:color w:val="000000"/>
          <w:sz w:val="24"/>
          <w:szCs w:val="24"/>
          <w:lang w:eastAsia="en-GB"/>
        </w:rPr>
        <w:t>Armenia, Bolivia, Cabo Verde, Cameroon,  Congo, Côte d´Ivoire, Egypt, El Salvador, Georgia, Ghana, Guatemala, Guyana, Honduras, Kosovo,</w:t>
      </w:r>
      <w:r w:rsidRPr="00DA640D">
        <w:rPr>
          <w:sz w:val="24"/>
          <w:szCs w:val="24"/>
          <w:lang w:eastAsia="en-GB"/>
        </w:rPr>
        <w:t xml:space="preserve"> Kyrgyzstan,</w:t>
      </w:r>
      <w:r w:rsidRPr="00DA640D">
        <w:rPr>
          <w:color w:val="000000"/>
          <w:sz w:val="24"/>
          <w:szCs w:val="24"/>
          <w:lang w:eastAsia="en-GB"/>
        </w:rPr>
        <w:t xml:space="preserve"> Micronesia, Moldova, Mongolia, Morocco, Nicaragua, Nigeria, </w:t>
      </w:r>
      <w:r w:rsidR="002920BB" w:rsidRPr="00CE0A08">
        <w:rPr>
          <w:sz w:val="24"/>
          <w:szCs w:val="24"/>
        </w:rPr>
        <w:t>occupied Palestinian territory</w:t>
      </w:r>
      <w:r w:rsidR="002920BB">
        <w:rPr>
          <w:sz w:val="24"/>
          <w:szCs w:val="24"/>
        </w:rPr>
        <w:t>,</w:t>
      </w:r>
      <w:r w:rsidR="002920BB" w:rsidRPr="00DA640D">
        <w:rPr>
          <w:color w:val="000000"/>
          <w:sz w:val="24"/>
          <w:szCs w:val="24"/>
          <w:lang w:eastAsia="en-GB"/>
        </w:rPr>
        <w:t xml:space="preserve"> </w:t>
      </w:r>
      <w:r w:rsidRPr="00DA640D">
        <w:rPr>
          <w:color w:val="000000"/>
          <w:sz w:val="24"/>
          <w:szCs w:val="24"/>
          <w:lang w:eastAsia="en-GB"/>
        </w:rPr>
        <w:t>Pakistan, Papua New Guinea, Paraguay, Philippines, Samoa, Sri Lanka, Swaziland, Syrian</w:t>
      </w:r>
      <w:r w:rsidRPr="00DA640D">
        <w:rPr>
          <w:sz w:val="24"/>
          <w:szCs w:val="24"/>
          <w:lang w:eastAsia="en-GB"/>
        </w:rPr>
        <w:t xml:space="preserve"> Arab Republic</w:t>
      </w:r>
      <w:r w:rsidRPr="00DA640D">
        <w:rPr>
          <w:color w:val="000000"/>
          <w:sz w:val="24"/>
          <w:szCs w:val="24"/>
          <w:lang w:eastAsia="en-GB"/>
        </w:rPr>
        <w:t>, Tokelau, Ukraine, Uzbekistan, V</w:t>
      </w:r>
      <w:r w:rsidR="002920BB">
        <w:rPr>
          <w:color w:val="000000"/>
          <w:sz w:val="24"/>
          <w:szCs w:val="24"/>
          <w:lang w:eastAsia="en-GB"/>
        </w:rPr>
        <w:t>ietnam</w:t>
      </w:r>
      <w:r w:rsidRPr="00DA640D">
        <w:rPr>
          <w:color w:val="000000"/>
          <w:sz w:val="24"/>
          <w:szCs w:val="24"/>
          <w:lang w:eastAsia="en-GB"/>
        </w:rPr>
        <w:t>.</w:t>
      </w:r>
    </w:p>
    <w:p w:rsidR="00BF2A1D" w:rsidRPr="00DA640D" w:rsidRDefault="00BF2A1D" w:rsidP="00BF2A1D">
      <w:pPr>
        <w:numPr>
          <w:ilvl w:val="2"/>
          <w:numId w:val="1"/>
        </w:numPr>
        <w:rPr>
          <w:sz w:val="24"/>
          <w:szCs w:val="24"/>
        </w:rPr>
      </w:pPr>
      <w:r w:rsidRPr="00DA640D">
        <w:rPr>
          <w:i/>
          <w:noProof/>
          <w:sz w:val="24"/>
          <w:szCs w:val="24"/>
        </w:rPr>
        <w:t>Upper Middle Income Countries and Territories</w:t>
      </w:r>
      <w:r w:rsidRPr="00DA640D">
        <w:rPr>
          <w:noProof/>
          <w:sz w:val="24"/>
          <w:szCs w:val="24"/>
        </w:rPr>
        <w:t xml:space="preserve"> : </w:t>
      </w:r>
      <w:r w:rsidRPr="00DA640D">
        <w:rPr>
          <w:color w:val="000000"/>
          <w:sz w:val="24"/>
          <w:szCs w:val="24"/>
          <w:lang w:eastAsia="en-GB"/>
        </w:rPr>
        <w:t>Albania, Algeria, Antigua and Barbuda, Azerbaijan, Belarus, Belize, Bosnia and Herzegovina, Botswana, Chile, Colombia, Cook Islands, Costa Rica, Cuba, Dominica, Dominican Republic, Ecuador, Fiji, Former Yugoslav Republic of Macedonia, Gabon, Grenada, Iran, Iraq, Jamaica, Jordan, Kazakhstan, Lebanon, Libya, Malaysia, Maldives, Marshall Islands,  Mauritius, Montenegro, Montserrat, Namibia, Nauru, Niue, Palau, Panama, Peru, Saint Helena, Saint Lucia, Saint Vincent &amp; the Grenadines, Serbia, Seychelles, Suriname, Thailand, Tonga,  Tunisia, Turkmenistan, Uruguay, Venezuela, Wallis and Futuna.</w:t>
      </w:r>
    </w:p>
    <w:p w:rsidR="00DA640D" w:rsidRPr="00DA640D" w:rsidRDefault="00BF2A1D" w:rsidP="00BF2A1D">
      <w:pPr>
        <w:numPr>
          <w:ilvl w:val="1"/>
          <w:numId w:val="1"/>
        </w:numPr>
        <w:jc w:val="left"/>
        <w:rPr>
          <w:sz w:val="24"/>
          <w:szCs w:val="24"/>
        </w:rPr>
      </w:pPr>
      <w:r w:rsidRPr="00DA640D">
        <w:rPr>
          <w:snapToGrid w:val="0"/>
          <w:sz w:val="24"/>
          <w:szCs w:val="24"/>
          <w:u w:val="single"/>
        </w:rPr>
        <w:t>G-20 member developing countries</w:t>
      </w:r>
      <w:r w:rsidRPr="00DA640D">
        <w:rPr>
          <w:snapToGrid w:val="0"/>
          <w:sz w:val="24"/>
          <w:szCs w:val="24"/>
        </w:rPr>
        <w:t xml:space="preserve"> </w:t>
      </w:r>
      <w:r w:rsidR="00DD1BDF" w:rsidRPr="00DA640D">
        <w:rPr>
          <w:snapToGrid w:val="0"/>
          <w:sz w:val="24"/>
          <w:szCs w:val="24"/>
        </w:rPr>
        <w:t xml:space="preserve">(eligible </w:t>
      </w:r>
      <w:r w:rsidR="00DD1BDF" w:rsidRPr="00DA640D">
        <w:rPr>
          <w:b/>
          <w:snapToGrid w:val="0"/>
          <w:sz w:val="24"/>
          <w:szCs w:val="24"/>
        </w:rPr>
        <w:t>only</w:t>
      </w:r>
      <w:r w:rsidR="00DD1BDF" w:rsidRPr="00DA640D">
        <w:rPr>
          <w:snapToGrid w:val="0"/>
          <w:sz w:val="24"/>
          <w:szCs w:val="24"/>
        </w:rPr>
        <w:t xml:space="preserve"> if they are also the (or one of the) beneficiaries of the action</w:t>
      </w:r>
      <w:r w:rsidR="00DA640D">
        <w:rPr>
          <w:snapToGrid w:val="0"/>
          <w:sz w:val="24"/>
          <w:szCs w:val="24"/>
        </w:rPr>
        <w:t>; as action location</w:t>
      </w:r>
      <w:r w:rsidR="00DD1BDF" w:rsidRPr="00DA640D">
        <w:rPr>
          <w:snapToGrid w:val="0"/>
          <w:sz w:val="24"/>
          <w:szCs w:val="24"/>
        </w:rPr>
        <w:t xml:space="preserve">) </w:t>
      </w:r>
      <w:r w:rsidRPr="00DA640D">
        <w:rPr>
          <w:snapToGrid w:val="0"/>
          <w:sz w:val="24"/>
          <w:szCs w:val="24"/>
        </w:rPr>
        <w:t>:</w:t>
      </w:r>
    </w:p>
    <w:p w:rsidR="00BF2A1D" w:rsidRPr="002920BB" w:rsidRDefault="00DA640D" w:rsidP="00DA640D">
      <w:pPr>
        <w:ind w:left="720"/>
        <w:jc w:val="left"/>
        <w:rPr>
          <w:noProof/>
          <w:sz w:val="24"/>
          <w:szCs w:val="24"/>
          <w:u w:val="single"/>
          <w:lang w:val="it-IT"/>
        </w:rPr>
      </w:pPr>
      <w:bookmarkStart w:id="8" w:name="_Toc423007713"/>
      <w:bookmarkStart w:id="9" w:name="_Toc423007531"/>
      <w:r w:rsidRPr="002920BB">
        <w:rPr>
          <w:sz w:val="24"/>
          <w:szCs w:val="24"/>
          <w:lang w:val="it-IT"/>
        </w:rPr>
        <w:t xml:space="preserve">Argentina, Brazil, China, India, Indonesia, Mexico, South-Africa, </w:t>
      </w:r>
      <w:proofErr w:type="spellStart"/>
      <w:r w:rsidRPr="002920BB">
        <w:rPr>
          <w:sz w:val="24"/>
          <w:szCs w:val="24"/>
          <w:lang w:val="it-IT"/>
        </w:rPr>
        <w:t>Turkey</w:t>
      </w:r>
      <w:proofErr w:type="spellEnd"/>
      <w:r w:rsidRPr="002920BB">
        <w:rPr>
          <w:sz w:val="24"/>
          <w:szCs w:val="24"/>
          <w:lang w:val="it-IT"/>
        </w:rPr>
        <w:t>.</w:t>
      </w:r>
      <w:bookmarkEnd w:id="8"/>
      <w:bookmarkEnd w:id="9"/>
      <w:r w:rsidR="00BF2A1D" w:rsidRPr="002920BB">
        <w:rPr>
          <w:snapToGrid w:val="0"/>
          <w:sz w:val="24"/>
          <w:szCs w:val="24"/>
          <w:lang w:val="it-IT"/>
        </w:rPr>
        <w:br/>
      </w:r>
      <w:r w:rsidR="00BF2A1D" w:rsidRPr="002920BB">
        <w:rPr>
          <w:snapToGrid w:val="0"/>
          <w:sz w:val="24"/>
          <w:szCs w:val="24"/>
          <w:lang w:val="it-IT"/>
        </w:rPr>
        <w:br/>
      </w:r>
    </w:p>
    <w:p w:rsidR="00DA640D" w:rsidRDefault="00BF2A1D" w:rsidP="00DA640D">
      <w:pPr>
        <w:numPr>
          <w:ilvl w:val="1"/>
          <w:numId w:val="1"/>
        </w:numPr>
        <w:jc w:val="left"/>
        <w:rPr>
          <w:sz w:val="24"/>
          <w:szCs w:val="24"/>
        </w:rPr>
      </w:pPr>
      <w:r w:rsidRPr="00DA640D">
        <w:rPr>
          <w:noProof/>
          <w:sz w:val="24"/>
          <w:szCs w:val="24"/>
          <w:u w:val="single"/>
        </w:rPr>
        <w:lastRenderedPageBreak/>
        <w:t>Overseas Country and Territory (OCTs) covered by Council Decision 2013/755/EU of 25 November 2013 on the association of the overseas countries and</w:t>
      </w:r>
      <w:r w:rsidRPr="00DA640D">
        <w:rPr>
          <w:sz w:val="24"/>
          <w:szCs w:val="24"/>
          <w:u w:val="single"/>
        </w:rPr>
        <w:t xml:space="preserve"> territories with the European Union</w:t>
      </w:r>
      <w:r w:rsidRPr="00DA640D">
        <w:rPr>
          <w:sz w:val="24"/>
          <w:szCs w:val="24"/>
        </w:rPr>
        <w:t xml:space="preserve"> : : </w:t>
      </w:r>
      <w:r w:rsidRPr="00DA640D">
        <w:rPr>
          <w:sz w:val="24"/>
          <w:szCs w:val="24"/>
        </w:rPr>
        <w:br/>
      </w:r>
    </w:p>
    <w:p w:rsidR="00BF2A1D" w:rsidRPr="00DA640D" w:rsidRDefault="00BF2A1D" w:rsidP="00DA640D">
      <w:pPr>
        <w:ind w:left="720"/>
        <w:rPr>
          <w:sz w:val="24"/>
          <w:szCs w:val="24"/>
        </w:rPr>
      </w:pPr>
      <w:r w:rsidRPr="00DA640D">
        <w:rPr>
          <w:sz w:val="24"/>
          <w:szCs w:val="24"/>
        </w:rPr>
        <w:t xml:space="preserve">Anguilla, Aruba, Bermuda, British Indian Ocean Territory, British Virgin Islands, Cayman Islands, </w:t>
      </w:r>
      <w:proofErr w:type="spellStart"/>
      <w:r w:rsidRPr="00DA640D">
        <w:rPr>
          <w:sz w:val="24"/>
          <w:szCs w:val="24"/>
        </w:rPr>
        <w:t>Curação</w:t>
      </w:r>
      <w:proofErr w:type="spellEnd"/>
      <w:r w:rsidRPr="00DA640D">
        <w:rPr>
          <w:sz w:val="24"/>
          <w:szCs w:val="24"/>
        </w:rPr>
        <w:t xml:space="preserve">, Falkland Islands, French Polynesia, French Southern and Antarctic Territories, Greenland, Montserrat, New Caledonia and Dependencies, Pitcairn, </w:t>
      </w:r>
      <w:proofErr w:type="spellStart"/>
      <w:r w:rsidRPr="00DA640D">
        <w:rPr>
          <w:sz w:val="24"/>
          <w:szCs w:val="24"/>
        </w:rPr>
        <w:t>Saba</w:t>
      </w:r>
      <w:proofErr w:type="spellEnd"/>
      <w:r w:rsidRPr="00DA640D">
        <w:rPr>
          <w:sz w:val="24"/>
          <w:szCs w:val="24"/>
        </w:rPr>
        <w:t xml:space="preserve">, Saint </w:t>
      </w:r>
      <w:proofErr w:type="spellStart"/>
      <w:r w:rsidRPr="00DA640D">
        <w:rPr>
          <w:sz w:val="24"/>
          <w:szCs w:val="24"/>
        </w:rPr>
        <w:t>Barthelemy</w:t>
      </w:r>
      <w:proofErr w:type="spellEnd"/>
      <w:r w:rsidRPr="00DA640D">
        <w:rPr>
          <w:sz w:val="24"/>
          <w:szCs w:val="24"/>
        </w:rPr>
        <w:t xml:space="preserve">, Saint Helena Ascension Island Tristan da Cunha, </w:t>
      </w:r>
      <w:proofErr w:type="spellStart"/>
      <w:r w:rsidRPr="00DA640D">
        <w:rPr>
          <w:sz w:val="24"/>
          <w:szCs w:val="24"/>
        </w:rPr>
        <w:t>Sint</w:t>
      </w:r>
      <w:proofErr w:type="spellEnd"/>
      <w:r w:rsidRPr="00DA640D">
        <w:rPr>
          <w:sz w:val="24"/>
          <w:szCs w:val="24"/>
        </w:rPr>
        <w:t xml:space="preserve"> Eustatius, </w:t>
      </w:r>
      <w:proofErr w:type="spellStart"/>
      <w:r w:rsidRPr="00DA640D">
        <w:rPr>
          <w:sz w:val="24"/>
          <w:szCs w:val="24"/>
        </w:rPr>
        <w:t>Sint</w:t>
      </w:r>
      <w:proofErr w:type="spellEnd"/>
      <w:r w:rsidRPr="00DA640D">
        <w:rPr>
          <w:sz w:val="24"/>
          <w:szCs w:val="24"/>
        </w:rPr>
        <w:t xml:space="preserve"> Maarten, South Georgia and South Sandwich Islands, St. Pierre and Miquelon, Turks and Caicos, Wallis and Futuna Islands</w:t>
      </w:r>
    </w:p>
    <w:p w:rsidR="00DA640D" w:rsidRPr="00DA640D" w:rsidRDefault="00BF2A1D" w:rsidP="00DA640D">
      <w:pPr>
        <w:numPr>
          <w:ilvl w:val="1"/>
          <w:numId w:val="1"/>
        </w:numPr>
        <w:rPr>
          <w:sz w:val="24"/>
          <w:szCs w:val="24"/>
        </w:rPr>
      </w:pPr>
      <w:bookmarkStart w:id="10" w:name="_Toc423007499"/>
      <w:bookmarkStart w:id="11" w:name="_Toc423007681"/>
      <w:r w:rsidRPr="00DA640D">
        <w:rPr>
          <w:noProof/>
          <w:sz w:val="24"/>
          <w:szCs w:val="24"/>
          <w:u w:val="single"/>
        </w:rPr>
        <w:t>Non EU Member State of the OECD</w:t>
      </w:r>
      <w:bookmarkStart w:id="12" w:name="_DV_M237"/>
      <w:bookmarkEnd w:id="12"/>
      <w:r w:rsidRPr="00DA640D">
        <w:rPr>
          <w:noProof/>
          <w:sz w:val="24"/>
          <w:szCs w:val="24"/>
          <w:u w:val="single"/>
        </w:rPr>
        <w:t xml:space="preserve"> </w:t>
      </w:r>
      <w:bookmarkStart w:id="13" w:name="_Toc423007530"/>
      <w:bookmarkStart w:id="14" w:name="_Toc423007712"/>
      <w:r w:rsidRPr="00DA640D">
        <w:rPr>
          <w:noProof/>
          <w:sz w:val="24"/>
          <w:szCs w:val="24"/>
          <w:u w:val="single"/>
        </w:rPr>
        <w:t>:</w:t>
      </w:r>
    </w:p>
    <w:p w:rsidR="00DA640D" w:rsidRDefault="00DA640D" w:rsidP="00DA640D">
      <w:pPr>
        <w:ind w:left="720"/>
        <w:rPr>
          <w:sz w:val="24"/>
          <w:szCs w:val="24"/>
        </w:rPr>
      </w:pPr>
    </w:p>
    <w:p w:rsidR="00BE297A" w:rsidRPr="00DA640D" w:rsidRDefault="00BF2A1D" w:rsidP="00DA640D">
      <w:pPr>
        <w:ind w:left="720"/>
        <w:rPr>
          <w:sz w:val="24"/>
          <w:szCs w:val="24"/>
        </w:rPr>
      </w:pPr>
      <w:r w:rsidRPr="00DA640D">
        <w:rPr>
          <w:sz w:val="24"/>
          <w:szCs w:val="24"/>
        </w:rPr>
        <w:t>Australia, Canada, Chile, Iceland, Israel, Japan, Korea, Mexico, New Zealand, Norway, Switzerland, Turkey, United States of America</w:t>
      </w:r>
      <w:bookmarkEnd w:id="13"/>
      <w:bookmarkEnd w:id="14"/>
      <w:r w:rsidRPr="00DA640D">
        <w:rPr>
          <w:sz w:val="24"/>
          <w:szCs w:val="24"/>
        </w:rPr>
        <w:t xml:space="preserve"> </w:t>
      </w:r>
      <w:bookmarkEnd w:id="10"/>
      <w:bookmarkEnd w:id="11"/>
      <w:r w:rsidR="00DD1BDF" w:rsidRPr="00DA640D">
        <w:rPr>
          <w:sz w:val="24"/>
          <w:szCs w:val="24"/>
        </w:rPr>
        <w:t xml:space="preserve">- </w:t>
      </w:r>
      <w:r w:rsidR="00DD1BDF" w:rsidRPr="00DA640D">
        <w:rPr>
          <w:snapToGrid w:val="0"/>
          <w:sz w:val="24"/>
          <w:szCs w:val="24"/>
        </w:rPr>
        <w:t>these countries are eligible only if the action is implemented in a least developed countries (LDC) (see list (i) above) or in a Highly Indebted Poor Country (HIPC) (Bolivia, Cameroon, Republic of the Congo, Côte d’Ivoire, Ghana, Guyana, Honduras, Nicaragua)</w:t>
      </w:r>
    </w:p>
    <w:p w:rsidR="00AE3934" w:rsidRPr="00DA640D" w:rsidRDefault="00435E42" w:rsidP="00BF2A1D">
      <w:pPr>
        <w:numPr>
          <w:ilvl w:val="1"/>
          <w:numId w:val="1"/>
        </w:numPr>
        <w:jc w:val="left"/>
        <w:rPr>
          <w:sz w:val="24"/>
          <w:szCs w:val="24"/>
          <w:u w:val="single"/>
        </w:rPr>
      </w:pPr>
      <w:r w:rsidRPr="00DA640D">
        <w:rPr>
          <w:sz w:val="24"/>
          <w:szCs w:val="24"/>
          <w:u w:val="single"/>
        </w:rPr>
        <w:t xml:space="preserve">Countries that are not listed in the DAC list  and </w:t>
      </w:r>
      <w:r w:rsidR="00AE3934" w:rsidRPr="00DA640D">
        <w:rPr>
          <w:sz w:val="24"/>
          <w:szCs w:val="24"/>
          <w:u w:val="single"/>
        </w:rPr>
        <w:t xml:space="preserve">that are </w:t>
      </w:r>
      <w:r w:rsidR="00D13DB0" w:rsidRPr="00DA640D">
        <w:rPr>
          <w:sz w:val="24"/>
          <w:szCs w:val="24"/>
          <w:u w:val="single"/>
        </w:rPr>
        <w:t>beneficiaries</w:t>
      </w:r>
      <w:r w:rsidR="00AE3934" w:rsidRPr="00DA640D">
        <w:rPr>
          <w:sz w:val="24"/>
          <w:szCs w:val="24"/>
          <w:u w:val="single"/>
        </w:rPr>
        <w:t xml:space="preserve"> to the </w:t>
      </w:r>
      <w:r w:rsidR="00AE3934" w:rsidRPr="00DA640D">
        <w:rPr>
          <w:b/>
          <w:sz w:val="24"/>
          <w:szCs w:val="24"/>
          <w:u w:val="single"/>
        </w:rPr>
        <w:t>African, Caribbean and Pacific</w:t>
      </w:r>
      <w:r w:rsidR="00AE3934" w:rsidRPr="00DA640D">
        <w:rPr>
          <w:sz w:val="24"/>
          <w:szCs w:val="24"/>
          <w:u w:val="single"/>
        </w:rPr>
        <w:t xml:space="preserve"> Partnership Agreement (eligible </w:t>
      </w:r>
      <w:r w:rsidR="00AE3934" w:rsidRPr="00DA640D">
        <w:rPr>
          <w:b/>
          <w:sz w:val="24"/>
          <w:szCs w:val="24"/>
          <w:u w:val="single"/>
        </w:rPr>
        <w:t>only</w:t>
      </w:r>
      <w:r w:rsidR="00AE3934" w:rsidRPr="00DA640D">
        <w:rPr>
          <w:sz w:val="24"/>
          <w:szCs w:val="24"/>
          <w:u w:val="single"/>
        </w:rPr>
        <w:t xml:space="preserve"> if they are also the (or one of the) beneficiaries of the action</w:t>
      </w:r>
      <w:r w:rsidR="00DA640D">
        <w:rPr>
          <w:sz w:val="24"/>
          <w:szCs w:val="24"/>
          <w:u w:val="single"/>
        </w:rPr>
        <w:t>; as action location</w:t>
      </w:r>
      <w:r w:rsidR="00AE3934" w:rsidRPr="00DA640D">
        <w:rPr>
          <w:sz w:val="24"/>
          <w:szCs w:val="24"/>
          <w:u w:val="single"/>
        </w:rPr>
        <w:t>)</w:t>
      </w:r>
      <w:r w:rsidR="00EE2832" w:rsidRPr="00DA640D">
        <w:rPr>
          <w:sz w:val="24"/>
          <w:szCs w:val="24"/>
          <w:u w:val="single"/>
        </w:rPr>
        <w:t>:</w:t>
      </w:r>
    </w:p>
    <w:p w:rsidR="00AE3934" w:rsidRPr="00DA640D" w:rsidRDefault="00AE3934" w:rsidP="00AE3934">
      <w:pPr>
        <w:pStyle w:val="ListParagraph"/>
        <w:rPr>
          <w:sz w:val="24"/>
          <w:szCs w:val="24"/>
        </w:rPr>
      </w:pPr>
      <w:r w:rsidRPr="00DA640D">
        <w:rPr>
          <w:sz w:val="24"/>
          <w:szCs w:val="24"/>
        </w:rPr>
        <w:t>Bahamas,</w:t>
      </w:r>
      <w:r w:rsidR="00EE2832" w:rsidRPr="00DA640D">
        <w:rPr>
          <w:sz w:val="24"/>
          <w:szCs w:val="24"/>
        </w:rPr>
        <w:t xml:space="preserve"> </w:t>
      </w:r>
      <w:r w:rsidRPr="00DA640D">
        <w:rPr>
          <w:sz w:val="24"/>
          <w:szCs w:val="24"/>
        </w:rPr>
        <w:t>Barbados</w:t>
      </w:r>
      <w:r w:rsidR="00EE2832" w:rsidRPr="00DA640D">
        <w:rPr>
          <w:sz w:val="24"/>
          <w:szCs w:val="24"/>
        </w:rPr>
        <w:t>,</w:t>
      </w:r>
      <w:r w:rsidRPr="00DA640D">
        <w:rPr>
          <w:sz w:val="24"/>
          <w:szCs w:val="24"/>
        </w:rPr>
        <w:t xml:space="preserve"> Saint Kitts and Nevis</w:t>
      </w:r>
      <w:r w:rsidR="00EE2832" w:rsidRPr="00DA640D">
        <w:rPr>
          <w:sz w:val="24"/>
          <w:szCs w:val="24"/>
        </w:rPr>
        <w:t xml:space="preserve">, </w:t>
      </w:r>
      <w:r w:rsidRPr="00DA640D">
        <w:rPr>
          <w:sz w:val="24"/>
          <w:szCs w:val="24"/>
        </w:rPr>
        <w:t>Trinidad and Tobago</w:t>
      </w:r>
      <w:r w:rsidR="00EE2832" w:rsidRPr="00DA640D">
        <w:rPr>
          <w:sz w:val="24"/>
          <w:szCs w:val="24"/>
        </w:rPr>
        <w:t xml:space="preserve"> (please note that the other ACP countries are already included in the DAC list.</w:t>
      </w:r>
    </w:p>
    <w:p w:rsidR="003342C1" w:rsidRPr="00DA640D" w:rsidRDefault="003342C1" w:rsidP="00AE3934">
      <w:pPr>
        <w:pStyle w:val="ListParagraph"/>
        <w:jc w:val="left"/>
        <w:rPr>
          <w:color w:val="FF0000"/>
          <w:sz w:val="24"/>
          <w:szCs w:val="24"/>
        </w:rPr>
      </w:pPr>
    </w:p>
    <w:p w:rsidR="00F37602" w:rsidRPr="00DA640D" w:rsidRDefault="00F37602" w:rsidP="00AE3934">
      <w:pPr>
        <w:pStyle w:val="ListParagraph"/>
        <w:jc w:val="left"/>
        <w:rPr>
          <w:color w:val="FF0000"/>
          <w:sz w:val="24"/>
          <w:szCs w:val="24"/>
        </w:rPr>
      </w:pPr>
    </w:p>
    <w:p w:rsidR="00F37602" w:rsidRPr="00DA640D" w:rsidRDefault="00F37602" w:rsidP="00DA640D">
      <w:pPr>
        <w:pBdr>
          <w:top w:val="single" w:sz="4" w:space="1" w:color="auto"/>
          <w:left w:val="single" w:sz="4" w:space="4" w:color="auto"/>
          <w:bottom w:val="single" w:sz="4" w:space="1" w:color="auto"/>
          <w:right w:val="single" w:sz="4" w:space="4" w:color="auto"/>
        </w:pBdr>
        <w:shd w:val="pct10" w:color="auto" w:fill="auto"/>
        <w:ind w:left="360"/>
        <w:jc w:val="center"/>
        <w:rPr>
          <w:b/>
          <w:sz w:val="24"/>
          <w:szCs w:val="24"/>
          <w:u w:val="single"/>
        </w:rPr>
      </w:pPr>
      <w:r w:rsidRPr="00DA640D">
        <w:rPr>
          <w:b/>
          <w:sz w:val="24"/>
          <w:szCs w:val="24"/>
          <w:u w:val="single"/>
        </w:rPr>
        <w:t xml:space="preserve">List of eligible countries and territories </w:t>
      </w:r>
      <w:r w:rsidR="00E2633F" w:rsidRPr="00DA640D">
        <w:rPr>
          <w:b/>
          <w:sz w:val="24"/>
          <w:szCs w:val="24"/>
          <w:u w:val="single"/>
        </w:rPr>
        <w:t xml:space="preserve">as action location </w:t>
      </w:r>
      <w:r w:rsidRPr="00DA640D">
        <w:rPr>
          <w:b/>
          <w:sz w:val="24"/>
          <w:szCs w:val="24"/>
          <w:u w:val="single"/>
        </w:rPr>
        <w:t>referred in section 2.1.4 of the guidelines</w:t>
      </w:r>
    </w:p>
    <w:p w:rsidR="00F37602" w:rsidRPr="00DA640D" w:rsidRDefault="00F37602" w:rsidP="00AE3934">
      <w:pPr>
        <w:pStyle w:val="ListParagraph"/>
        <w:jc w:val="left"/>
        <w:rPr>
          <w:b/>
          <w:sz w:val="24"/>
          <w:szCs w:val="24"/>
          <w:u w:val="single"/>
        </w:rPr>
      </w:pPr>
    </w:p>
    <w:p w:rsidR="00263E05" w:rsidRPr="00DA640D" w:rsidRDefault="00263E05" w:rsidP="00263E05">
      <w:pPr>
        <w:ind w:left="720"/>
        <w:jc w:val="left"/>
        <w:rPr>
          <w:sz w:val="24"/>
          <w:szCs w:val="24"/>
        </w:rPr>
      </w:pPr>
      <w:r w:rsidRPr="00DA640D">
        <w:rPr>
          <w:sz w:val="24"/>
          <w:szCs w:val="24"/>
          <w:u w:val="single"/>
        </w:rPr>
        <w:t xml:space="preserve">Member States of the European Union </w:t>
      </w:r>
      <w:r w:rsidRPr="00DA640D">
        <w:rPr>
          <w:sz w:val="24"/>
          <w:szCs w:val="24"/>
        </w:rPr>
        <w:t>:</w:t>
      </w:r>
      <w:r w:rsidRPr="00DA640D">
        <w:rPr>
          <w:sz w:val="24"/>
          <w:szCs w:val="24"/>
        </w:rPr>
        <w:br/>
      </w:r>
      <w:r w:rsidRPr="00DA640D">
        <w:rPr>
          <w:sz w:val="24"/>
          <w:szCs w:val="24"/>
        </w:rPr>
        <w:br/>
      </w:r>
      <w:r w:rsidRPr="00DA640D">
        <w:rPr>
          <w:snapToGrid w:val="0"/>
          <w:sz w:val="24"/>
          <w:szCs w:val="24"/>
        </w:rPr>
        <w:t xml:space="preserve">Austria, Belgium, Bulgaria, Czech Republic, Croatia, Cyprus, Denmark, Estonia, Finland, France, Germany, Greece, Hungary, Ireland, Italy, Latvia, Lithuania, Luxembourg, Malta, Netherlands, Poland, Portugal, Romania, Slovakia, Slovenia, Spain, Sweden, United Kingdom </w:t>
      </w:r>
    </w:p>
    <w:p w:rsidR="00263E05" w:rsidRPr="00DA640D" w:rsidRDefault="00263E05" w:rsidP="00263E05">
      <w:pPr>
        <w:ind w:left="720"/>
        <w:rPr>
          <w:sz w:val="24"/>
          <w:szCs w:val="24"/>
        </w:rPr>
      </w:pPr>
      <w:r w:rsidRPr="00DA640D">
        <w:rPr>
          <w:sz w:val="24"/>
          <w:szCs w:val="24"/>
          <w:u w:val="single"/>
        </w:rPr>
        <w:t>Developing countries and territories,</w:t>
      </w:r>
      <w:r w:rsidRPr="00DA640D">
        <w:rPr>
          <w:noProof/>
          <w:sz w:val="24"/>
          <w:szCs w:val="24"/>
        </w:rPr>
        <w:t xml:space="preserve"> (included</w:t>
      </w:r>
      <w:r w:rsidRPr="00DA640D">
        <w:rPr>
          <w:sz w:val="24"/>
          <w:szCs w:val="24"/>
        </w:rPr>
        <w:t xml:space="preserve"> in the OECD-DAC list of ODA recipients)</w:t>
      </w:r>
      <w:r w:rsidRPr="00DA640D">
        <w:rPr>
          <w:noProof/>
          <w:sz w:val="24"/>
          <w:szCs w:val="24"/>
        </w:rPr>
        <w:t xml:space="preserve">, </w:t>
      </w:r>
    </w:p>
    <w:p w:rsidR="00263E05" w:rsidRPr="00DA640D" w:rsidRDefault="00263E05" w:rsidP="00263E05">
      <w:pPr>
        <w:numPr>
          <w:ilvl w:val="2"/>
          <w:numId w:val="1"/>
        </w:numPr>
        <w:rPr>
          <w:sz w:val="24"/>
          <w:szCs w:val="24"/>
        </w:rPr>
      </w:pPr>
      <w:r w:rsidRPr="00DA640D">
        <w:rPr>
          <w:i/>
          <w:noProof/>
          <w:sz w:val="24"/>
          <w:szCs w:val="24"/>
        </w:rPr>
        <w:t>Least Developed Countries</w:t>
      </w:r>
      <w:r w:rsidRPr="00DA640D">
        <w:rPr>
          <w:noProof/>
          <w:sz w:val="24"/>
          <w:szCs w:val="24"/>
        </w:rPr>
        <w:t xml:space="preserve"> (LDCs) : </w:t>
      </w:r>
      <w:r w:rsidRPr="00DA640D">
        <w:rPr>
          <w:color w:val="000000"/>
          <w:sz w:val="24"/>
          <w:szCs w:val="24"/>
          <w:lang w:eastAsia="en-GB"/>
        </w:rPr>
        <w:t xml:space="preserve">Afghanistan, Angola, Bangladesh, Benin, Bhutan, Burkina Faso, Burundi, Cambodia, Central African Republic, Chad, Comoros, Democratic Republic of the Congo, Djibouti, Equatorial Guinea, Eritrea, Ethiopia, Gambia, Guinea, Guinea-Bissau, Haiti, Kiribati, </w:t>
      </w:r>
      <w:r w:rsidRPr="00DA640D">
        <w:rPr>
          <w:sz w:val="24"/>
          <w:szCs w:val="24"/>
          <w:lang w:eastAsia="en-GB"/>
        </w:rPr>
        <w:t>Lao People's Democratic Republic</w:t>
      </w:r>
      <w:r w:rsidRPr="00DA640D">
        <w:rPr>
          <w:color w:val="000000"/>
          <w:sz w:val="24"/>
          <w:szCs w:val="24"/>
          <w:lang w:eastAsia="en-GB"/>
        </w:rPr>
        <w:t>, Lesotho, Liberia, Madagascar, Malawi, Mali, Mauritania, Mozambique, Myanmar, Nepal, Niger, Rwanda, Sao Tome &amp; Principe, Senegal, Sierra Leone, Solomon Islands, Somalia, Sudan, South Sudan, Tanzania, Timor-Leste, Togo, Tuvalu, Uganda, Vanuatu, Yemen, Zambia.</w:t>
      </w:r>
    </w:p>
    <w:p w:rsidR="00263E05" w:rsidRPr="00DA640D" w:rsidRDefault="00263E05" w:rsidP="00263E05">
      <w:pPr>
        <w:numPr>
          <w:ilvl w:val="2"/>
          <w:numId w:val="1"/>
        </w:numPr>
        <w:rPr>
          <w:sz w:val="24"/>
          <w:szCs w:val="24"/>
        </w:rPr>
      </w:pPr>
      <w:r w:rsidRPr="00DA640D">
        <w:rPr>
          <w:i/>
          <w:noProof/>
          <w:sz w:val="24"/>
          <w:szCs w:val="24"/>
        </w:rPr>
        <w:t>Other Low Income Countries</w:t>
      </w:r>
      <w:r w:rsidRPr="00DA640D">
        <w:rPr>
          <w:noProof/>
          <w:sz w:val="24"/>
          <w:szCs w:val="24"/>
        </w:rPr>
        <w:t xml:space="preserve"> : </w:t>
      </w:r>
      <w:r w:rsidRPr="00DA640D">
        <w:rPr>
          <w:color w:val="000000"/>
          <w:sz w:val="24"/>
          <w:szCs w:val="24"/>
          <w:lang w:eastAsia="en-GB"/>
        </w:rPr>
        <w:t>Kenya, Democratic People’s Republic of Korea, Tajikistan, Zimbabwe.</w:t>
      </w:r>
    </w:p>
    <w:p w:rsidR="00263E05" w:rsidRPr="00DA640D" w:rsidRDefault="00263E05" w:rsidP="00263E05">
      <w:pPr>
        <w:numPr>
          <w:ilvl w:val="2"/>
          <w:numId w:val="1"/>
        </w:numPr>
        <w:rPr>
          <w:sz w:val="24"/>
          <w:szCs w:val="24"/>
        </w:rPr>
      </w:pPr>
      <w:r w:rsidRPr="00DA640D">
        <w:rPr>
          <w:i/>
          <w:noProof/>
          <w:sz w:val="24"/>
          <w:szCs w:val="24"/>
        </w:rPr>
        <w:t>Lower Middle Income Countries and Territories</w:t>
      </w:r>
      <w:r w:rsidRPr="00DA640D">
        <w:rPr>
          <w:noProof/>
          <w:sz w:val="24"/>
          <w:szCs w:val="24"/>
        </w:rPr>
        <w:t xml:space="preserve"> : </w:t>
      </w:r>
      <w:r w:rsidRPr="00DA640D">
        <w:rPr>
          <w:color w:val="000000"/>
          <w:sz w:val="24"/>
          <w:szCs w:val="24"/>
          <w:lang w:eastAsia="en-GB"/>
        </w:rPr>
        <w:t xml:space="preserve">Armenia, Bolivia, Cabo Verde, Cameroon,  Congo, Côte d´Ivoire, Egypt, El Salvador, Georgia, Ghana, </w:t>
      </w:r>
      <w:r w:rsidRPr="00DA640D">
        <w:rPr>
          <w:color w:val="000000"/>
          <w:sz w:val="24"/>
          <w:szCs w:val="24"/>
          <w:lang w:eastAsia="en-GB"/>
        </w:rPr>
        <w:lastRenderedPageBreak/>
        <w:t xml:space="preserve">Guatemala, Guyana, Honduras, </w:t>
      </w:r>
      <w:r w:rsidRPr="00DA640D">
        <w:rPr>
          <w:snapToGrid w:val="0"/>
          <w:sz w:val="24"/>
          <w:szCs w:val="24"/>
        </w:rPr>
        <w:t>India,</w:t>
      </w:r>
      <w:r w:rsidRPr="00DA640D">
        <w:rPr>
          <w:color w:val="000000"/>
          <w:sz w:val="24"/>
          <w:szCs w:val="24"/>
          <w:lang w:eastAsia="en-GB"/>
        </w:rPr>
        <w:t xml:space="preserve"> </w:t>
      </w:r>
      <w:r w:rsidRPr="00DA640D">
        <w:rPr>
          <w:snapToGrid w:val="0"/>
          <w:sz w:val="24"/>
          <w:szCs w:val="24"/>
        </w:rPr>
        <w:t xml:space="preserve">Indonesia, </w:t>
      </w:r>
      <w:r w:rsidRPr="00DA640D">
        <w:rPr>
          <w:sz w:val="24"/>
          <w:szCs w:val="24"/>
          <w:lang w:eastAsia="en-GB"/>
        </w:rPr>
        <w:t>Kyrgyzstan,</w:t>
      </w:r>
      <w:r w:rsidRPr="00DA640D">
        <w:rPr>
          <w:color w:val="000000"/>
          <w:sz w:val="24"/>
          <w:szCs w:val="24"/>
          <w:lang w:eastAsia="en-GB"/>
        </w:rPr>
        <w:t xml:space="preserve"> Micronesia, Moldova, Mongolia, Morocco, Nicaragua, Nigeria, </w:t>
      </w:r>
      <w:r w:rsidR="002920BB" w:rsidRPr="00CE0A08">
        <w:rPr>
          <w:sz w:val="24"/>
          <w:szCs w:val="24"/>
        </w:rPr>
        <w:t>occupied Palestinian territory</w:t>
      </w:r>
      <w:r w:rsidR="002920BB">
        <w:rPr>
          <w:sz w:val="24"/>
          <w:szCs w:val="24"/>
        </w:rPr>
        <w:t>,</w:t>
      </w:r>
      <w:r w:rsidR="002920BB" w:rsidRPr="00DA640D">
        <w:rPr>
          <w:color w:val="000000"/>
          <w:sz w:val="24"/>
          <w:szCs w:val="24"/>
          <w:lang w:eastAsia="en-GB"/>
        </w:rPr>
        <w:t xml:space="preserve"> </w:t>
      </w:r>
      <w:r w:rsidRPr="00DA640D">
        <w:rPr>
          <w:color w:val="000000"/>
          <w:sz w:val="24"/>
          <w:szCs w:val="24"/>
          <w:lang w:eastAsia="en-GB"/>
        </w:rPr>
        <w:t>Pakistan, Papua New Guinea, Paraguay, Philippines, Samoa, Sri Lanka, Swaziland, Syrian</w:t>
      </w:r>
      <w:r w:rsidRPr="00DA640D">
        <w:rPr>
          <w:sz w:val="24"/>
          <w:szCs w:val="24"/>
          <w:lang w:eastAsia="en-GB"/>
        </w:rPr>
        <w:t xml:space="preserve"> Arab Republic</w:t>
      </w:r>
      <w:r w:rsidRPr="00DA640D">
        <w:rPr>
          <w:color w:val="000000"/>
          <w:sz w:val="24"/>
          <w:szCs w:val="24"/>
          <w:lang w:eastAsia="en-GB"/>
        </w:rPr>
        <w:t>, Tokela</w:t>
      </w:r>
      <w:r w:rsidR="002920BB">
        <w:rPr>
          <w:color w:val="000000"/>
          <w:sz w:val="24"/>
          <w:szCs w:val="24"/>
          <w:lang w:eastAsia="en-GB"/>
        </w:rPr>
        <w:t>u, Ukraine, Uzbekistan, Vietnam</w:t>
      </w:r>
      <w:r w:rsidRPr="00DA640D">
        <w:rPr>
          <w:color w:val="000000"/>
          <w:sz w:val="24"/>
          <w:szCs w:val="24"/>
          <w:lang w:eastAsia="en-GB"/>
        </w:rPr>
        <w:t>.</w:t>
      </w:r>
    </w:p>
    <w:p w:rsidR="00263E05" w:rsidRPr="00DA640D" w:rsidRDefault="00263E05" w:rsidP="00263E05">
      <w:pPr>
        <w:numPr>
          <w:ilvl w:val="2"/>
          <w:numId w:val="1"/>
        </w:numPr>
        <w:rPr>
          <w:sz w:val="24"/>
          <w:szCs w:val="24"/>
        </w:rPr>
      </w:pPr>
      <w:r w:rsidRPr="00DA640D">
        <w:rPr>
          <w:i/>
          <w:noProof/>
          <w:sz w:val="24"/>
          <w:szCs w:val="24"/>
        </w:rPr>
        <w:t>Upper Middle Income Countries and Territories</w:t>
      </w:r>
      <w:r w:rsidRPr="00DA640D">
        <w:rPr>
          <w:noProof/>
          <w:sz w:val="24"/>
          <w:szCs w:val="24"/>
        </w:rPr>
        <w:t xml:space="preserve"> : </w:t>
      </w:r>
      <w:r w:rsidRPr="00DA640D">
        <w:rPr>
          <w:color w:val="000000"/>
          <w:sz w:val="24"/>
          <w:szCs w:val="24"/>
          <w:lang w:eastAsia="en-GB"/>
        </w:rPr>
        <w:t xml:space="preserve">Algeria, Antigua and Barbuda, </w:t>
      </w:r>
      <w:r w:rsidRPr="00DA640D">
        <w:rPr>
          <w:snapToGrid w:val="0"/>
          <w:sz w:val="24"/>
          <w:szCs w:val="24"/>
        </w:rPr>
        <w:t xml:space="preserve">Argentina, </w:t>
      </w:r>
      <w:r w:rsidRPr="00DA640D">
        <w:rPr>
          <w:color w:val="000000"/>
          <w:sz w:val="24"/>
          <w:szCs w:val="24"/>
          <w:lang w:eastAsia="en-GB"/>
        </w:rPr>
        <w:t>Azerbaijan, Belarus,</w:t>
      </w:r>
      <w:r w:rsidR="002920BB">
        <w:rPr>
          <w:color w:val="000000"/>
          <w:sz w:val="24"/>
          <w:szCs w:val="24"/>
          <w:lang w:eastAsia="en-GB"/>
        </w:rPr>
        <w:t xml:space="preserve"> Belize,</w:t>
      </w:r>
      <w:r w:rsidRPr="00DA640D">
        <w:rPr>
          <w:color w:val="000000"/>
          <w:sz w:val="24"/>
          <w:szCs w:val="24"/>
          <w:lang w:eastAsia="en-GB"/>
        </w:rPr>
        <w:t xml:space="preserve"> Botswana, </w:t>
      </w:r>
      <w:r w:rsidRPr="00DA640D">
        <w:rPr>
          <w:snapToGrid w:val="0"/>
          <w:sz w:val="24"/>
          <w:szCs w:val="24"/>
        </w:rPr>
        <w:t xml:space="preserve">Brazil, </w:t>
      </w:r>
      <w:r w:rsidRPr="00DA640D">
        <w:rPr>
          <w:color w:val="000000"/>
          <w:sz w:val="24"/>
          <w:szCs w:val="24"/>
          <w:lang w:eastAsia="en-GB"/>
        </w:rPr>
        <w:t xml:space="preserve">Chile, </w:t>
      </w:r>
      <w:r w:rsidRPr="00DA640D">
        <w:rPr>
          <w:snapToGrid w:val="0"/>
          <w:sz w:val="24"/>
          <w:szCs w:val="24"/>
        </w:rPr>
        <w:t xml:space="preserve">China, </w:t>
      </w:r>
      <w:r w:rsidRPr="00DA640D">
        <w:rPr>
          <w:color w:val="000000"/>
          <w:sz w:val="24"/>
          <w:szCs w:val="24"/>
          <w:lang w:eastAsia="en-GB"/>
        </w:rPr>
        <w:t>Colombia, Cook Islands, Costa Rica, Cuba, Dominica, Dom</w:t>
      </w:r>
      <w:r w:rsidR="002920BB">
        <w:rPr>
          <w:color w:val="000000"/>
          <w:sz w:val="24"/>
          <w:szCs w:val="24"/>
          <w:lang w:eastAsia="en-GB"/>
        </w:rPr>
        <w:t>inican Republic, Ecuador, Fiji</w:t>
      </w:r>
      <w:r w:rsidRPr="00DA640D">
        <w:rPr>
          <w:color w:val="000000"/>
          <w:sz w:val="24"/>
          <w:szCs w:val="24"/>
          <w:lang w:eastAsia="en-GB"/>
        </w:rPr>
        <w:t xml:space="preserve">, Gabon, Grenada, Iran, Iraq, Jamaica, Jordan, Kazakhstan, Lebanon, Libya, Malaysia, Maldives, Marshall Islands,  Mauritius, </w:t>
      </w:r>
      <w:r w:rsidRPr="00DA640D">
        <w:rPr>
          <w:snapToGrid w:val="0"/>
          <w:sz w:val="24"/>
          <w:szCs w:val="24"/>
        </w:rPr>
        <w:t>Mexico,</w:t>
      </w:r>
      <w:r w:rsidRPr="00DA640D">
        <w:rPr>
          <w:color w:val="000000"/>
          <w:sz w:val="24"/>
          <w:szCs w:val="24"/>
          <w:lang w:eastAsia="en-GB"/>
        </w:rPr>
        <w:t xml:space="preserve"> Montserrat, Namibia, Nauru, Niue, Palau, Panama, Peru, Saint Helena, Saint Lucia, Saint V</w:t>
      </w:r>
      <w:r w:rsidR="002920BB">
        <w:rPr>
          <w:color w:val="000000"/>
          <w:sz w:val="24"/>
          <w:szCs w:val="24"/>
          <w:lang w:eastAsia="en-GB"/>
        </w:rPr>
        <w:t>incent &amp; the Grenadines,</w:t>
      </w:r>
      <w:r w:rsidRPr="00DA640D">
        <w:rPr>
          <w:color w:val="000000"/>
          <w:sz w:val="24"/>
          <w:szCs w:val="24"/>
          <w:lang w:eastAsia="en-GB"/>
        </w:rPr>
        <w:t xml:space="preserve"> Seychelles, </w:t>
      </w:r>
      <w:r w:rsidRPr="00DA640D">
        <w:rPr>
          <w:snapToGrid w:val="0"/>
          <w:sz w:val="24"/>
          <w:szCs w:val="24"/>
        </w:rPr>
        <w:t>South Africa,</w:t>
      </w:r>
      <w:r w:rsidRPr="00DA640D">
        <w:rPr>
          <w:color w:val="000000"/>
          <w:sz w:val="24"/>
          <w:szCs w:val="24"/>
          <w:lang w:eastAsia="en-GB"/>
        </w:rPr>
        <w:t xml:space="preserve"> Suriname, Thailand, Tonga,  Tunisia, Turkmenistan, Uruguay, Venezuela, Wallis and Futuna.</w:t>
      </w:r>
    </w:p>
    <w:p w:rsidR="00F37602" w:rsidRPr="00DA640D" w:rsidRDefault="00F37602" w:rsidP="00AE3934">
      <w:pPr>
        <w:pStyle w:val="ListParagraph"/>
        <w:jc w:val="left"/>
        <w:rPr>
          <w:color w:val="FF0000"/>
          <w:sz w:val="24"/>
          <w:szCs w:val="24"/>
        </w:rPr>
      </w:pPr>
    </w:p>
    <w:p w:rsidR="00E2633F" w:rsidRPr="00DA640D" w:rsidRDefault="00E2633F" w:rsidP="00AE3934">
      <w:pPr>
        <w:pStyle w:val="ListParagraph"/>
        <w:jc w:val="left"/>
        <w:rPr>
          <w:color w:val="FF0000"/>
          <w:sz w:val="24"/>
          <w:szCs w:val="24"/>
        </w:rPr>
      </w:pPr>
      <w:r w:rsidRPr="00DA640D">
        <w:rPr>
          <w:noProof/>
          <w:sz w:val="24"/>
          <w:szCs w:val="24"/>
          <w:u w:val="single"/>
        </w:rPr>
        <w:t>Overseas Country and Territory (OCTs) covered by Council Decision 2013/755/EU of 25 November 2013 on the association of the overseas countries and</w:t>
      </w:r>
      <w:r w:rsidRPr="00DA640D">
        <w:rPr>
          <w:sz w:val="24"/>
          <w:szCs w:val="24"/>
          <w:u w:val="single"/>
        </w:rPr>
        <w:t xml:space="preserve"> territories with the European Union</w:t>
      </w:r>
      <w:r w:rsidRPr="00DA640D">
        <w:rPr>
          <w:sz w:val="24"/>
          <w:szCs w:val="24"/>
        </w:rPr>
        <w:t xml:space="preserve"> : : </w:t>
      </w:r>
      <w:r w:rsidRPr="00DA640D">
        <w:rPr>
          <w:sz w:val="24"/>
          <w:szCs w:val="24"/>
        </w:rPr>
        <w:br/>
      </w:r>
      <w:r w:rsidRPr="00DA640D">
        <w:rPr>
          <w:sz w:val="24"/>
          <w:szCs w:val="24"/>
        </w:rPr>
        <w:br/>
        <w:t xml:space="preserve">Anguilla, Aruba, Bermuda, British Indian Ocean Territory, British Virgin Islands, Cayman Islands, </w:t>
      </w:r>
      <w:proofErr w:type="spellStart"/>
      <w:r w:rsidRPr="00DA640D">
        <w:rPr>
          <w:sz w:val="24"/>
          <w:szCs w:val="24"/>
        </w:rPr>
        <w:t>Curação</w:t>
      </w:r>
      <w:proofErr w:type="spellEnd"/>
      <w:r w:rsidRPr="00DA640D">
        <w:rPr>
          <w:sz w:val="24"/>
          <w:szCs w:val="24"/>
        </w:rPr>
        <w:t xml:space="preserve">, Falkland Islands, French Polynesia, French Southern and Antarctic Territories, Greenland, Montserrat, New Caledonia and Dependencies, Pitcairn, </w:t>
      </w:r>
      <w:proofErr w:type="spellStart"/>
      <w:r w:rsidRPr="00DA640D">
        <w:rPr>
          <w:sz w:val="24"/>
          <w:szCs w:val="24"/>
        </w:rPr>
        <w:t>Saba</w:t>
      </w:r>
      <w:proofErr w:type="spellEnd"/>
      <w:r w:rsidRPr="00DA640D">
        <w:rPr>
          <w:sz w:val="24"/>
          <w:szCs w:val="24"/>
        </w:rPr>
        <w:t xml:space="preserve">, Saint </w:t>
      </w:r>
      <w:proofErr w:type="spellStart"/>
      <w:r w:rsidRPr="00DA640D">
        <w:rPr>
          <w:sz w:val="24"/>
          <w:szCs w:val="24"/>
        </w:rPr>
        <w:t>Barthelemy</w:t>
      </w:r>
      <w:proofErr w:type="spellEnd"/>
      <w:r w:rsidRPr="00DA640D">
        <w:rPr>
          <w:sz w:val="24"/>
          <w:szCs w:val="24"/>
        </w:rPr>
        <w:t xml:space="preserve">, Saint Helena Ascension Island Tristan da Cunha, </w:t>
      </w:r>
      <w:proofErr w:type="spellStart"/>
      <w:r w:rsidRPr="00DA640D">
        <w:rPr>
          <w:sz w:val="24"/>
          <w:szCs w:val="24"/>
        </w:rPr>
        <w:t>Sint</w:t>
      </w:r>
      <w:proofErr w:type="spellEnd"/>
      <w:r w:rsidRPr="00DA640D">
        <w:rPr>
          <w:sz w:val="24"/>
          <w:szCs w:val="24"/>
        </w:rPr>
        <w:t xml:space="preserve"> Eustatius, </w:t>
      </w:r>
      <w:proofErr w:type="spellStart"/>
      <w:r w:rsidRPr="00DA640D">
        <w:rPr>
          <w:sz w:val="24"/>
          <w:szCs w:val="24"/>
        </w:rPr>
        <w:t>Sint</w:t>
      </w:r>
      <w:proofErr w:type="spellEnd"/>
      <w:r w:rsidRPr="00DA640D">
        <w:rPr>
          <w:sz w:val="24"/>
          <w:szCs w:val="24"/>
        </w:rPr>
        <w:t xml:space="preserve"> Maarten, South Georgia and South Sandwich Islands, St. Pierre and Miquelon, Turks and Caicos, Wallis and Futuna Islands</w:t>
      </w:r>
    </w:p>
    <w:p w:rsidR="00E2633F" w:rsidRPr="00DA640D" w:rsidRDefault="00E2633F" w:rsidP="00AE3934">
      <w:pPr>
        <w:pStyle w:val="ListParagraph"/>
        <w:jc w:val="left"/>
        <w:rPr>
          <w:color w:val="FF0000"/>
          <w:sz w:val="24"/>
          <w:szCs w:val="24"/>
        </w:rPr>
      </w:pPr>
    </w:p>
    <w:p w:rsidR="001B5A22" w:rsidRPr="00DA640D" w:rsidRDefault="00DA640D" w:rsidP="001B5A22">
      <w:pPr>
        <w:pStyle w:val="ListParagraph"/>
        <w:jc w:val="left"/>
        <w:rPr>
          <w:noProof/>
          <w:sz w:val="24"/>
          <w:szCs w:val="24"/>
          <w:u w:val="single"/>
        </w:rPr>
      </w:pPr>
      <w:r>
        <w:rPr>
          <w:noProof/>
          <w:sz w:val="24"/>
          <w:szCs w:val="24"/>
          <w:u w:val="single"/>
        </w:rPr>
        <w:t>ENI</w:t>
      </w:r>
      <w:r w:rsidR="001B5A22" w:rsidRPr="00DA640D">
        <w:rPr>
          <w:noProof/>
          <w:sz w:val="24"/>
          <w:szCs w:val="24"/>
          <w:u w:val="single"/>
        </w:rPr>
        <w:t xml:space="preserve"> Partner Countries And Territories</w:t>
      </w:r>
    </w:p>
    <w:p w:rsidR="001B5A22" w:rsidRPr="00DA640D" w:rsidRDefault="001B5A22" w:rsidP="001B5A22">
      <w:pPr>
        <w:tabs>
          <w:tab w:val="left" w:pos="1418"/>
        </w:tabs>
        <w:ind w:left="720"/>
        <w:outlineLvl w:val="0"/>
        <w:rPr>
          <w:sz w:val="24"/>
          <w:szCs w:val="24"/>
        </w:rPr>
      </w:pPr>
      <w:bookmarkStart w:id="15" w:name="_Toc423007714"/>
      <w:bookmarkStart w:id="16" w:name="_Toc423007532"/>
      <w:r w:rsidRPr="00DA640D">
        <w:rPr>
          <w:sz w:val="24"/>
          <w:szCs w:val="24"/>
        </w:rPr>
        <w:t xml:space="preserve">Algeria, Armenia, Azerbaijan, Belarus, Egypt, Georgia, Israel, Jordan, Lebanon, Libya, </w:t>
      </w:r>
      <w:r w:rsidR="002920BB" w:rsidRPr="00CE0A08">
        <w:rPr>
          <w:sz w:val="24"/>
          <w:szCs w:val="24"/>
        </w:rPr>
        <w:t>occupied Palestinian territory</w:t>
      </w:r>
      <w:r w:rsidR="002920BB">
        <w:rPr>
          <w:sz w:val="24"/>
          <w:szCs w:val="24"/>
        </w:rPr>
        <w:t>,</w:t>
      </w:r>
      <w:r w:rsidR="002920BB" w:rsidRPr="00DA640D">
        <w:rPr>
          <w:color w:val="000000"/>
          <w:sz w:val="24"/>
          <w:szCs w:val="24"/>
          <w:lang w:eastAsia="en-GB"/>
        </w:rPr>
        <w:t xml:space="preserve"> </w:t>
      </w:r>
      <w:r w:rsidRPr="00DA640D">
        <w:rPr>
          <w:sz w:val="24"/>
          <w:szCs w:val="24"/>
        </w:rPr>
        <w:t>Republic of Moldova, Morocco, Syria, Tunisia, Ukraine</w:t>
      </w:r>
      <w:bookmarkEnd w:id="15"/>
      <w:bookmarkEnd w:id="16"/>
      <w:r w:rsidR="002920BB">
        <w:rPr>
          <w:sz w:val="24"/>
          <w:szCs w:val="24"/>
        </w:rPr>
        <w:t>.</w:t>
      </w:r>
    </w:p>
    <w:p w:rsidR="001B5A22" w:rsidRPr="00DA640D" w:rsidRDefault="001B5A22" w:rsidP="00AE3934">
      <w:pPr>
        <w:pStyle w:val="ListParagraph"/>
        <w:jc w:val="left"/>
        <w:rPr>
          <w:color w:val="FF0000"/>
          <w:sz w:val="24"/>
          <w:szCs w:val="24"/>
        </w:rPr>
      </w:pPr>
    </w:p>
    <w:p w:rsidR="00263E05" w:rsidRPr="00DA640D" w:rsidRDefault="00263E05" w:rsidP="00263E05">
      <w:pPr>
        <w:ind w:left="720"/>
        <w:jc w:val="left"/>
        <w:rPr>
          <w:sz w:val="24"/>
          <w:szCs w:val="24"/>
          <w:u w:val="single"/>
        </w:rPr>
      </w:pPr>
      <w:r w:rsidRPr="00DA640D">
        <w:rPr>
          <w:sz w:val="24"/>
          <w:szCs w:val="24"/>
          <w:u w:val="single"/>
        </w:rPr>
        <w:t xml:space="preserve">Countries that are not listed in the OECD-DAC list of ODA recipients and that are beneficiaries to the </w:t>
      </w:r>
      <w:r w:rsidRPr="00DA640D">
        <w:rPr>
          <w:b/>
          <w:sz w:val="24"/>
          <w:szCs w:val="24"/>
          <w:u w:val="single"/>
        </w:rPr>
        <w:t>African, Caribbean and Pacific</w:t>
      </w:r>
      <w:r w:rsidRPr="00DA640D">
        <w:rPr>
          <w:sz w:val="24"/>
          <w:szCs w:val="24"/>
          <w:u w:val="single"/>
        </w:rPr>
        <w:t xml:space="preserve"> Partnership Agreement </w:t>
      </w:r>
    </w:p>
    <w:p w:rsidR="00263E05" w:rsidRPr="00DA640D" w:rsidRDefault="00263E05" w:rsidP="00263E05">
      <w:pPr>
        <w:pStyle w:val="ListParagraph"/>
        <w:jc w:val="left"/>
        <w:rPr>
          <w:color w:val="FF0000"/>
          <w:sz w:val="24"/>
          <w:szCs w:val="24"/>
        </w:rPr>
      </w:pPr>
      <w:r w:rsidRPr="00DA640D">
        <w:rPr>
          <w:sz w:val="24"/>
          <w:szCs w:val="24"/>
        </w:rPr>
        <w:t xml:space="preserve">Bahamas, Barbados, Saint Kitts and Nevis, Trinidad and Tobago </w:t>
      </w:r>
    </w:p>
    <w:sectPr w:rsidR="00263E05" w:rsidRPr="00DA640D" w:rsidSect="00DA640D">
      <w:pgSz w:w="11906" w:h="16838"/>
      <w:pgMar w:top="1417" w:right="1417" w:bottom="60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entury Gothic"/>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7670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A1D"/>
    <w:rsid w:val="000667A5"/>
    <w:rsid w:val="001B5A22"/>
    <w:rsid w:val="00263E05"/>
    <w:rsid w:val="00284A80"/>
    <w:rsid w:val="002920BB"/>
    <w:rsid w:val="003342C1"/>
    <w:rsid w:val="00435E42"/>
    <w:rsid w:val="004A09D6"/>
    <w:rsid w:val="00914E1E"/>
    <w:rsid w:val="00AE3934"/>
    <w:rsid w:val="00BA3C21"/>
    <w:rsid w:val="00BE297A"/>
    <w:rsid w:val="00BF2A1D"/>
    <w:rsid w:val="00D13DB0"/>
    <w:rsid w:val="00DA640D"/>
    <w:rsid w:val="00DD1BDF"/>
    <w:rsid w:val="00E2633F"/>
    <w:rsid w:val="00EE2832"/>
    <w:rsid w:val="00EF38AC"/>
    <w:rsid w:val="00F37602"/>
    <w:rsid w:val="00F82D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2A1D"/>
    <w:pPr>
      <w:spacing w:before="120" w:after="120" w:line="240" w:lineRule="auto"/>
      <w:jc w:val="both"/>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rsid w:val="00BF2A1D"/>
    <w:rPr>
      <w:sz w:val="20"/>
    </w:rPr>
  </w:style>
  <w:style w:type="character" w:customStyle="1" w:styleId="CommentTextChar">
    <w:name w:val="Comment Text Char"/>
    <w:basedOn w:val="DefaultParagraphFont"/>
    <w:link w:val="CommentText"/>
    <w:uiPriority w:val="99"/>
    <w:rsid w:val="00BF2A1D"/>
    <w:rPr>
      <w:rFonts w:ascii="Times New Roman" w:eastAsia="Times New Roman" w:hAnsi="Times New Roman" w:cs="Times New Roman"/>
      <w:sz w:val="20"/>
      <w:szCs w:val="20"/>
    </w:rPr>
  </w:style>
  <w:style w:type="character" w:styleId="CommentReference">
    <w:name w:val="annotation reference"/>
    <w:basedOn w:val="DefaultParagraphFont"/>
    <w:uiPriority w:val="99"/>
    <w:rsid w:val="00BF2A1D"/>
    <w:rPr>
      <w:rFonts w:cs="Times New Roman"/>
      <w:sz w:val="16"/>
    </w:rPr>
  </w:style>
  <w:style w:type="paragraph" w:styleId="BalloonText">
    <w:name w:val="Balloon Text"/>
    <w:basedOn w:val="Normal"/>
    <w:link w:val="BalloonTextChar"/>
    <w:uiPriority w:val="99"/>
    <w:semiHidden/>
    <w:unhideWhenUsed/>
    <w:rsid w:val="00BF2A1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2A1D"/>
    <w:rPr>
      <w:rFonts w:ascii="Tahoma" w:eastAsia="Times New Roman" w:hAnsi="Tahoma" w:cs="Tahoma"/>
      <w:sz w:val="16"/>
      <w:szCs w:val="16"/>
    </w:rPr>
  </w:style>
  <w:style w:type="character" w:customStyle="1" w:styleId="Heading1Exact">
    <w:name w:val="Heading #1 Exact"/>
    <w:basedOn w:val="DefaultParagraphFont"/>
    <w:rsid w:val="003342C1"/>
    <w:rPr>
      <w:rFonts w:ascii="Arial" w:eastAsia="Arial" w:hAnsi="Arial" w:cs="Arial"/>
      <w:b/>
      <w:bCs/>
      <w:i w:val="0"/>
      <w:iCs w:val="0"/>
      <w:smallCaps w:val="0"/>
      <w:strike w:val="0"/>
      <w:u w:val="none"/>
    </w:rPr>
  </w:style>
  <w:style w:type="character" w:customStyle="1" w:styleId="Heading1">
    <w:name w:val="Heading #1_"/>
    <w:basedOn w:val="DefaultParagraphFont"/>
    <w:rsid w:val="003342C1"/>
    <w:rPr>
      <w:rFonts w:ascii="Arial" w:eastAsia="Arial" w:hAnsi="Arial" w:cs="Arial"/>
      <w:b/>
      <w:bCs/>
      <w:i w:val="0"/>
      <w:iCs w:val="0"/>
      <w:smallCaps w:val="0"/>
      <w:strike w:val="0"/>
      <w:u w:val="none"/>
    </w:rPr>
  </w:style>
  <w:style w:type="character" w:customStyle="1" w:styleId="Heading10">
    <w:name w:val="Heading #1"/>
    <w:basedOn w:val="Heading1"/>
    <w:rsid w:val="003342C1"/>
    <w:rPr>
      <w:rFonts w:ascii="Arial" w:eastAsia="Arial" w:hAnsi="Arial" w:cs="Arial"/>
      <w:b/>
      <w:bCs/>
      <w:i w:val="0"/>
      <w:iCs w:val="0"/>
      <w:smallCaps w:val="0"/>
      <w:strike w:val="0"/>
      <w:color w:val="000000"/>
      <w:spacing w:val="0"/>
      <w:w w:val="100"/>
      <w:position w:val="0"/>
      <w:sz w:val="24"/>
      <w:szCs w:val="24"/>
      <w:u w:val="single"/>
      <w:lang w:val="en-US" w:eastAsia="en-US" w:bidi="en-US"/>
    </w:rPr>
  </w:style>
  <w:style w:type="character" w:customStyle="1" w:styleId="Bodytext2">
    <w:name w:val="Body text (2)_"/>
    <w:basedOn w:val="DefaultParagraphFont"/>
    <w:link w:val="Bodytext20"/>
    <w:rsid w:val="003342C1"/>
    <w:rPr>
      <w:rFonts w:ascii="Arial" w:eastAsia="Arial" w:hAnsi="Arial" w:cs="Arial"/>
      <w:shd w:val="clear" w:color="auto" w:fill="FFFFFF"/>
    </w:rPr>
  </w:style>
  <w:style w:type="paragraph" w:customStyle="1" w:styleId="Bodytext20">
    <w:name w:val="Body text (2)"/>
    <w:basedOn w:val="Normal"/>
    <w:link w:val="Bodytext2"/>
    <w:rsid w:val="003342C1"/>
    <w:pPr>
      <w:widowControl w:val="0"/>
      <w:shd w:val="clear" w:color="auto" w:fill="FFFFFF"/>
      <w:spacing w:before="300" w:after="0" w:line="274" w:lineRule="exact"/>
      <w:jc w:val="left"/>
    </w:pPr>
    <w:rPr>
      <w:rFonts w:ascii="Arial" w:eastAsia="Arial" w:hAnsi="Arial" w:cs="Arial"/>
      <w:szCs w:val="22"/>
    </w:rPr>
  </w:style>
  <w:style w:type="paragraph" w:styleId="ListParagraph">
    <w:name w:val="List Paragraph"/>
    <w:basedOn w:val="Normal"/>
    <w:uiPriority w:val="34"/>
    <w:qFormat/>
    <w:rsid w:val="00AE3934"/>
    <w:pPr>
      <w:ind w:left="720"/>
      <w:contextualSpacing/>
    </w:pPr>
  </w:style>
  <w:style w:type="paragraph" w:styleId="CommentSubject">
    <w:name w:val="annotation subject"/>
    <w:basedOn w:val="CommentText"/>
    <w:next w:val="CommentText"/>
    <w:link w:val="CommentSubjectChar"/>
    <w:uiPriority w:val="99"/>
    <w:semiHidden/>
    <w:unhideWhenUsed/>
    <w:rsid w:val="00AE3934"/>
    <w:rPr>
      <w:b/>
      <w:bCs/>
    </w:rPr>
  </w:style>
  <w:style w:type="character" w:customStyle="1" w:styleId="CommentSubjectChar">
    <w:name w:val="Comment Subject Char"/>
    <w:basedOn w:val="CommentTextChar"/>
    <w:link w:val="CommentSubject"/>
    <w:uiPriority w:val="99"/>
    <w:semiHidden/>
    <w:rsid w:val="00AE3934"/>
    <w:rPr>
      <w:rFonts w:ascii="Times New Roman" w:eastAsia="Times New Roman" w:hAnsi="Times New Roman" w:cs="Times New Roman"/>
      <w:b/>
      <w:bCs/>
      <w:sz w:val="20"/>
      <w:szCs w:val="20"/>
    </w:rPr>
  </w:style>
  <w:style w:type="character" w:customStyle="1" w:styleId="DeltaViewInsertion">
    <w:name w:val="DeltaView Insertion"/>
    <w:uiPriority w:val="99"/>
    <w:rsid w:val="001B5A22"/>
    <w:rPr>
      <w:b/>
      <w:bCs w:val="0"/>
      <w:i/>
      <w:iCs w:val="0"/>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2A1D"/>
    <w:pPr>
      <w:spacing w:before="120" w:after="120" w:line="240" w:lineRule="auto"/>
      <w:jc w:val="both"/>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rsid w:val="00BF2A1D"/>
    <w:rPr>
      <w:sz w:val="20"/>
    </w:rPr>
  </w:style>
  <w:style w:type="character" w:customStyle="1" w:styleId="CommentTextChar">
    <w:name w:val="Comment Text Char"/>
    <w:basedOn w:val="DefaultParagraphFont"/>
    <w:link w:val="CommentText"/>
    <w:uiPriority w:val="99"/>
    <w:rsid w:val="00BF2A1D"/>
    <w:rPr>
      <w:rFonts w:ascii="Times New Roman" w:eastAsia="Times New Roman" w:hAnsi="Times New Roman" w:cs="Times New Roman"/>
      <w:sz w:val="20"/>
      <w:szCs w:val="20"/>
    </w:rPr>
  </w:style>
  <w:style w:type="character" w:styleId="CommentReference">
    <w:name w:val="annotation reference"/>
    <w:basedOn w:val="DefaultParagraphFont"/>
    <w:uiPriority w:val="99"/>
    <w:rsid w:val="00BF2A1D"/>
    <w:rPr>
      <w:rFonts w:cs="Times New Roman"/>
      <w:sz w:val="16"/>
    </w:rPr>
  </w:style>
  <w:style w:type="paragraph" w:styleId="BalloonText">
    <w:name w:val="Balloon Text"/>
    <w:basedOn w:val="Normal"/>
    <w:link w:val="BalloonTextChar"/>
    <w:uiPriority w:val="99"/>
    <w:semiHidden/>
    <w:unhideWhenUsed/>
    <w:rsid w:val="00BF2A1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2A1D"/>
    <w:rPr>
      <w:rFonts w:ascii="Tahoma" w:eastAsia="Times New Roman" w:hAnsi="Tahoma" w:cs="Tahoma"/>
      <w:sz w:val="16"/>
      <w:szCs w:val="16"/>
    </w:rPr>
  </w:style>
  <w:style w:type="character" w:customStyle="1" w:styleId="Heading1Exact">
    <w:name w:val="Heading #1 Exact"/>
    <w:basedOn w:val="DefaultParagraphFont"/>
    <w:rsid w:val="003342C1"/>
    <w:rPr>
      <w:rFonts w:ascii="Arial" w:eastAsia="Arial" w:hAnsi="Arial" w:cs="Arial"/>
      <w:b/>
      <w:bCs/>
      <w:i w:val="0"/>
      <w:iCs w:val="0"/>
      <w:smallCaps w:val="0"/>
      <w:strike w:val="0"/>
      <w:u w:val="none"/>
    </w:rPr>
  </w:style>
  <w:style w:type="character" w:customStyle="1" w:styleId="Heading1">
    <w:name w:val="Heading #1_"/>
    <w:basedOn w:val="DefaultParagraphFont"/>
    <w:rsid w:val="003342C1"/>
    <w:rPr>
      <w:rFonts w:ascii="Arial" w:eastAsia="Arial" w:hAnsi="Arial" w:cs="Arial"/>
      <w:b/>
      <w:bCs/>
      <w:i w:val="0"/>
      <w:iCs w:val="0"/>
      <w:smallCaps w:val="0"/>
      <w:strike w:val="0"/>
      <w:u w:val="none"/>
    </w:rPr>
  </w:style>
  <w:style w:type="character" w:customStyle="1" w:styleId="Heading10">
    <w:name w:val="Heading #1"/>
    <w:basedOn w:val="Heading1"/>
    <w:rsid w:val="003342C1"/>
    <w:rPr>
      <w:rFonts w:ascii="Arial" w:eastAsia="Arial" w:hAnsi="Arial" w:cs="Arial"/>
      <w:b/>
      <w:bCs/>
      <w:i w:val="0"/>
      <w:iCs w:val="0"/>
      <w:smallCaps w:val="0"/>
      <w:strike w:val="0"/>
      <w:color w:val="000000"/>
      <w:spacing w:val="0"/>
      <w:w w:val="100"/>
      <w:position w:val="0"/>
      <w:sz w:val="24"/>
      <w:szCs w:val="24"/>
      <w:u w:val="single"/>
      <w:lang w:val="en-US" w:eastAsia="en-US" w:bidi="en-US"/>
    </w:rPr>
  </w:style>
  <w:style w:type="character" w:customStyle="1" w:styleId="Bodytext2">
    <w:name w:val="Body text (2)_"/>
    <w:basedOn w:val="DefaultParagraphFont"/>
    <w:link w:val="Bodytext20"/>
    <w:rsid w:val="003342C1"/>
    <w:rPr>
      <w:rFonts w:ascii="Arial" w:eastAsia="Arial" w:hAnsi="Arial" w:cs="Arial"/>
      <w:shd w:val="clear" w:color="auto" w:fill="FFFFFF"/>
    </w:rPr>
  </w:style>
  <w:style w:type="paragraph" w:customStyle="1" w:styleId="Bodytext20">
    <w:name w:val="Body text (2)"/>
    <w:basedOn w:val="Normal"/>
    <w:link w:val="Bodytext2"/>
    <w:rsid w:val="003342C1"/>
    <w:pPr>
      <w:widowControl w:val="0"/>
      <w:shd w:val="clear" w:color="auto" w:fill="FFFFFF"/>
      <w:spacing w:before="300" w:after="0" w:line="274" w:lineRule="exact"/>
      <w:jc w:val="left"/>
    </w:pPr>
    <w:rPr>
      <w:rFonts w:ascii="Arial" w:eastAsia="Arial" w:hAnsi="Arial" w:cs="Arial"/>
      <w:szCs w:val="22"/>
    </w:rPr>
  </w:style>
  <w:style w:type="paragraph" w:styleId="ListParagraph">
    <w:name w:val="List Paragraph"/>
    <w:basedOn w:val="Normal"/>
    <w:uiPriority w:val="34"/>
    <w:qFormat/>
    <w:rsid w:val="00AE3934"/>
    <w:pPr>
      <w:ind w:left="720"/>
      <w:contextualSpacing/>
    </w:pPr>
  </w:style>
  <w:style w:type="paragraph" w:styleId="CommentSubject">
    <w:name w:val="annotation subject"/>
    <w:basedOn w:val="CommentText"/>
    <w:next w:val="CommentText"/>
    <w:link w:val="CommentSubjectChar"/>
    <w:uiPriority w:val="99"/>
    <w:semiHidden/>
    <w:unhideWhenUsed/>
    <w:rsid w:val="00AE3934"/>
    <w:rPr>
      <w:b/>
      <w:bCs/>
    </w:rPr>
  </w:style>
  <w:style w:type="character" w:customStyle="1" w:styleId="CommentSubjectChar">
    <w:name w:val="Comment Subject Char"/>
    <w:basedOn w:val="CommentTextChar"/>
    <w:link w:val="CommentSubject"/>
    <w:uiPriority w:val="99"/>
    <w:semiHidden/>
    <w:rsid w:val="00AE3934"/>
    <w:rPr>
      <w:rFonts w:ascii="Times New Roman" w:eastAsia="Times New Roman" w:hAnsi="Times New Roman" w:cs="Times New Roman"/>
      <w:b/>
      <w:bCs/>
      <w:sz w:val="20"/>
      <w:szCs w:val="20"/>
    </w:rPr>
  </w:style>
  <w:style w:type="character" w:customStyle="1" w:styleId="DeltaViewInsertion">
    <w:name w:val="DeltaView Insertion"/>
    <w:uiPriority w:val="99"/>
    <w:rsid w:val="001B5A22"/>
    <w:rPr>
      <w:b/>
      <w:bCs w:val="0"/>
      <w:i/>
      <w:iCs w:val="0"/>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5654557">
      <w:bodyDiv w:val="1"/>
      <w:marLeft w:val="0"/>
      <w:marRight w:val="0"/>
      <w:marTop w:val="0"/>
      <w:marBottom w:val="0"/>
      <w:divBdr>
        <w:top w:val="none" w:sz="0" w:space="0" w:color="auto"/>
        <w:left w:val="none" w:sz="0" w:space="0" w:color="auto"/>
        <w:bottom w:val="none" w:sz="0" w:space="0" w:color="auto"/>
        <w:right w:val="none" w:sz="0" w:space="0" w:color="auto"/>
      </w:divBdr>
    </w:div>
    <w:div w:id="1446847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1047</TotalTime>
  <Pages>3</Pages>
  <Words>1115</Words>
  <Characters>6357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7458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HENDRIKS Fabrice (DEVCO)</dc:creator>
  <cp:lastModifiedBy>HENDRIKS Fabrice (DEVCO)</cp:lastModifiedBy>
  <cp:revision>8</cp:revision>
  <cp:lastPrinted>2017-12-05T11:53:00Z</cp:lastPrinted>
  <dcterms:created xsi:type="dcterms:W3CDTF">2017-09-20T12:07:00Z</dcterms:created>
  <dcterms:modified xsi:type="dcterms:W3CDTF">2017-12-06T08:09:00Z</dcterms:modified>
</cp:coreProperties>
</file>