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58" w:rsidRPr="006F6BAA" w:rsidRDefault="00C02E58" w:rsidP="009C7533">
      <w:pPr>
        <w:tabs>
          <w:tab w:val="left" w:pos="7200"/>
        </w:tabs>
        <w:jc w:val="center"/>
        <w:rPr>
          <w:sz w:val="24"/>
          <w:szCs w:val="24"/>
        </w:rPr>
      </w:pPr>
    </w:p>
    <w:tbl>
      <w:tblPr>
        <w:tblStyle w:val="TableGrid1"/>
        <w:tblW w:w="0" w:type="auto"/>
        <w:jc w:val="center"/>
        <w:tblLook w:val="04A0" w:firstRow="1" w:lastRow="0" w:firstColumn="1" w:lastColumn="0" w:noHBand="0" w:noVBand="1"/>
      </w:tblPr>
      <w:tblGrid>
        <w:gridCol w:w="9242"/>
      </w:tblGrid>
      <w:tr w:rsidR="00A9504A" w:rsidRPr="006F6BAA" w:rsidTr="00A46940">
        <w:trPr>
          <w:jc w:val="center"/>
        </w:trPr>
        <w:tc>
          <w:tcPr>
            <w:tcW w:w="9242" w:type="dxa"/>
            <w:shd w:val="clear" w:color="auto" w:fill="003399"/>
          </w:tcPr>
          <w:p w:rsidR="00A9504A" w:rsidRPr="00F572B9" w:rsidRDefault="00A9504A" w:rsidP="00A9504A">
            <w:pPr>
              <w:spacing w:before="240" w:after="240"/>
              <w:jc w:val="center"/>
              <w:rPr>
                <w:color w:val="FFFFFF" w:themeColor="background1"/>
                <w:sz w:val="28"/>
                <w:szCs w:val="28"/>
              </w:rPr>
            </w:pPr>
            <w:r w:rsidRPr="00F572B9">
              <w:rPr>
                <w:color w:val="FFFFFF" w:themeColor="background1"/>
                <w:sz w:val="28"/>
                <w:szCs w:val="28"/>
              </w:rPr>
              <w:t>HERCULE – III PROGRAMME 2014-2020</w:t>
            </w:r>
          </w:p>
        </w:tc>
      </w:tr>
    </w:tbl>
    <w:p w:rsidR="00A9504A" w:rsidRPr="006F6BAA" w:rsidRDefault="00A9504A" w:rsidP="00A9504A">
      <w:pPr>
        <w:spacing w:before="240" w:after="240" w:line="276" w:lineRule="auto"/>
        <w:rPr>
          <w:rFonts w:eastAsiaTheme="minorHAnsi"/>
          <w:color w:val="FFFFFF" w:themeColor="background1"/>
          <w:sz w:val="24"/>
          <w:szCs w:val="24"/>
        </w:rPr>
      </w:pPr>
      <w:bookmarkStart w:id="0" w:name="_GoBack"/>
      <w:r w:rsidRPr="006F6BAA">
        <w:rPr>
          <w:rFonts w:eastAsiaTheme="minorHAnsi"/>
          <w:color w:val="FFFFFF" w:themeColor="background1"/>
          <w:sz w:val="24"/>
          <w:szCs w:val="24"/>
        </w:rPr>
        <w:t xml:space="preserve">LE – III </w:t>
      </w:r>
    </w:p>
    <w:tbl>
      <w:tblPr>
        <w:tblStyle w:val="TableGrid1"/>
        <w:tblW w:w="0" w:type="auto"/>
        <w:jc w:val="center"/>
        <w:tblLook w:val="04A0" w:firstRow="1" w:lastRow="0" w:firstColumn="1" w:lastColumn="0" w:noHBand="0" w:noVBand="1"/>
      </w:tblPr>
      <w:tblGrid>
        <w:gridCol w:w="9242"/>
      </w:tblGrid>
      <w:tr w:rsidR="00A9504A" w:rsidRPr="006F6BAA" w:rsidTr="00A46940">
        <w:trPr>
          <w:jc w:val="center"/>
        </w:trPr>
        <w:tc>
          <w:tcPr>
            <w:tcW w:w="9242" w:type="dxa"/>
            <w:shd w:val="clear" w:color="auto" w:fill="003399"/>
          </w:tcPr>
          <w:bookmarkEnd w:id="0"/>
          <w:p w:rsidR="00A9504A" w:rsidRPr="00F572B9" w:rsidRDefault="00A9504A" w:rsidP="00A9504A">
            <w:pPr>
              <w:spacing w:before="240" w:after="240"/>
              <w:jc w:val="center"/>
              <w:rPr>
                <w:color w:val="FFFFFF" w:themeColor="background1"/>
                <w:sz w:val="28"/>
                <w:szCs w:val="28"/>
              </w:rPr>
            </w:pPr>
            <w:r w:rsidRPr="00F572B9">
              <w:rPr>
                <w:color w:val="FFFFFF" w:themeColor="background1"/>
                <w:sz w:val="28"/>
                <w:szCs w:val="28"/>
              </w:rPr>
              <w:t>CALL FOR PROPOSALS – 2017</w:t>
            </w:r>
          </w:p>
          <w:p w:rsidR="00A9504A" w:rsidRPr="00F572B9" w:rsidRDefault="00A9504A" w:rsidP="00A9504A">
            <w:pPr>
              <w:spacing w:before="240" w:after="240"/>
              <w:jc w:val="center"/>
              <w:rPr>
                <w:color w:val="FFFFFF" w:themeColor="background1"/>
                <w:sz w:val="28"/>
                <w:szCs w:val="28"/>
              </w:rPr>
            </w:pPr>
            <w:r w:rsidRPr="00F572B9">
              <w:rPr>
                <w:color w:val="FFFFFF" w:themeColor="background1"/>
                <w:sz w:val="28"/>
                <w:szCs w:val="28"/>
              </w:rPr>
              <w:t>LAW TRAINING AND STUDIES</w:t>
            </w:r>
          </w:p>
          <w:p w:rsidR="00A9504A" w:rsidRPr="00F572B9" w:rsidRDefault="00A9504A" w:rsidP="00A9504A">
            <w:pPr>
              <w:spacing w:before="240" w:after="240"/>
              <w:jc w:val="center"/>
              <w:rPr>
                <w:color w:val="FFFFFF" w:themeColor="background1"/>
                <w:sz w:val="28"/>
                <w:szCs w:val="28"/>
              </w:rPr>
            </w:pPr>
            <w:r w:rsidRPr="00F572B9">
              <w:rPr>
                <w:color w:val="FFFFFF" w:themeColor="background1"/>
                <w:sz w:val="28"/>
                <w:szCs w:val="28"/>
              </w:rPr>
              <w:t>CALL TEXT:</w:t>
            </w:r>
          </w:p>
          <w:p w:rsidR="00A9504A" w:rsidRPr="006F6BAA" w:rsidRDefault="00A9504A" w:rsidP="00A9504A">
            <w:pPr>
              <w:spacing w:before="240" w:after="240"/>
              <w:jc w:val="center"/>
              <w:rPr>
                <w:color w:val="FFFFFF" w:themeColor="background1"/>
                <w:sz w:val="24"/>
                <w:szCs w:val="24"/>
              </w:rPr>
            </w:pPr>
            <w:r w:rsidRPr="00F572B9">
              <w:rPr>
                <w:color w:val="FFFFFF" w:themeColor="background1"/>
                <w:sz w:val="28"/>
                <w:szCs w:val="28"/>
              </w:rPr>
              <w:t>DESCRIPTION OF THE ELIGIBLE ACTIONS AND FUNDING CONDITIONS</w:t>
            </w:r>
          </w:p>
        </w:tc>
      </w:tr>
    </w:tbl>
    <w:p w:rsidR="00A9504A" w:rsidRPr="006F6BAA" w:rsidRDefault="00A9504A" w:rsidP="00A9504A">
      <w:pPr>
        <w:spacing w:before="240" w:after="240" w:line="276" w:lineRule="auto"/>
        <w:rPr>
          <w:rFonts w:eastAsiaTheme="minorHAnsi"/>
          <w:color w:val="FFFFFF" w:themeColor="background1"/>
          <w:sz w:val="24"/>
          <w:szCs w:val="24"/>
        </w:rPr>
      </w:pPr>
    </w:p>
    <w:tbl>
      <w:tblPr>
        <w:tblStyle w:val="TableGrid1"/>
        <w:tblW w:w="0" w:type="auto"/>
        <w:jc w:val="center"/>
        <w:tblLook w:val="04A0" w:firstRow="1" w:lastRow="0" w:firstColumn="1" w:lastColumn="0" w:noHBand="0" w:noVBand="1"/>
      </w:tblPr>
      <w:tblGrid>
        <w:gridCol w:w="9242"/>
      </w:tblGrid>
      <w:tr w:rsidR="00A9504A" w:rsidRPr="006F6BAA" w:rsidTr="00A46940">
        <w:trPr>
          <w:jc w:val="center"/>
        </w:trPr>
        <w:tc>
          <w:tcPr>
            <w:tcW w:w="9242" w:type="dxa"/>
            <w:shd w:val="clear" w:color="auto" w:fill="003399"/>
          </w:tcPr>
          <w:p w:rsidR="00A9504A" w:rsidRPr="00F572B9" w:rsidRDefault="00A9504A" w:rsidP="00A9504A">
            <w:pPr>
              <w:spacing w:before="240" w:after="240"/>
              <w:jc w:val="center"/>
              <w:rPr>
                <w:color w:val="FFFFFF" w:themeColor="background1"/>
                <w:sz w:val="28"/>
                <w:szCs w:val="28"/>
              </w:rPr>
            </w:pPr>
            <w:r w:rsidRPr="00F572B9">
              <w:rPr>
                <w:color w:val="FFFFFF" w:themeColor="background1"/>
                <w:sz w:val="28"/>
                <w:szCs w:val="28"/>
              </w:rPr>
              <w:t xml:space="preserve">DEADLINE: </w:t>
            </w:r>
            <w:r w:rsidR="008B6097" w:rsidRPr="00F572B9">
              <w:rPr>
                <w:color w:val="FFFFFF" w:themeColor="background1"/>
                <w:sz w:val="28"/>
                <w:szCs w:val="28"/>
              </w:rPr>
              <w:t>WEDNESDAY, 9</w:t>
            </w:r>
            <w:r w:rsidRPr="00F572B9">
              <w:rPr>
                <w:color w:val="FFFFFF" w:themeColor="background1"/>
                <w:sz w:val="28"/>
                <w:szCs w:val="28"/>
              </w:rPr>
              <w:t> AUGUST 2017</w:t>
            </w:r>
          </w:p>
        </w:tc>
      </w:tr>
    </w:tbl>
    <w:p w:rsidR="00A9504A" w:rsidRPr="006F6BAA" w:rsidRDefault="00A9504A" w:rsidP="00A9504A">
      <w:pPr>
        <w:shd w:val="clear" w:color="auto" w:fill="FFFFFF" w:themeFill="background1"/>
        <w:spacing w:before="240" w:after="240" w:line="276" w:lineRule="auto"/>
        <w:rPr>
          <w:rFonts w:eastAsiaTheme="minorHAnsi"/>
          <w:sz w:val="24"/>
          <w:szCs w:val="24"/>
        </w:rPr>
      </w:pPr>
    </w:p>
    <w:p w:rsidR="00A9504A" w:rsidRPr="006F6BAA" w:rsidRDefault="00A9504A" w:rsidP="00A9504A">
      <w:pPr>
        <w:shd w:val="clear" w:color="auto" w:fill="FFFFFF" w:themeFill="background1"/>
        <w:spacing w:before="240" w:after="240" w:line="276" w:lineRule="auto"/>
        <w:jc w:val="center"/>
        <w:rPr>
          <w:rFonts w:eastAsiaTheme="minorHAnsi"/>
          <w:sz w:val="24"/>
          <w:szCs w:val="24"/>
        </w:rPr>
      </w:pPr>
      <w:r w:rsidRPr="006F6BAA">
        <w:rPr>
          <w:rFonts w:eastAsiaTheme="minorHAnsi"/>
          <w:sz w:val="24"/>
          <w:szCs w:val="24"/>
        </w:rPr>
        <w:t>The English version is the original</w:t>
      </w:r>
    </w:p>
    <w:p w:rsidR="00C02E58" w:rsidRPr="006F6BAA" w:rsidRDefault="00C02E58" w:rsidP="009C7533">
      <w:pPr>
        <w:tabs>
          <w:tab w:val="left" w:pos="7200"/>
        </w:tabs>
        <w:jc w:val="center"/>
        <w:rPr>
          <w:sz w:val="24"/>
          <w:szCs w:val="24"/>
        </w:rPr>
      </w:pPr>
    </w:p>
    <w:p w:rsidR="00C92DDD" w:rsidRPr="006F6BAA" w:rsidRDefault="00C92DDD" w:rsidP="009C7533">
      <w:pPr>
        <w:jc w:val="center"/>
        <w:rPr>
          <w:sz w:val="24"/>
          <w:szCs w:val="24"/>
        </w:rPr>
      </w:pPr>
    </w:p>
    <w:p w:rsidR="002F6F21" w:rsidRPr="006F6BAA" w:rsidRDefault="002F6F21" w:rsidP="009C7533">
      <w:pPr>
        <w:jc w:val="both"/>
        <w:rPr>
          <w:sz w:val="24"/>
          <w:szCs w:val="24"/>
        </w:rPr>
      </w:pPr>
    </w:p>
    <w:p w:rsidR="001259F8" w:rsidRPr="006F6BAA" w:rsidRDefault="001259F8" w:rsidP="00B60082">
      <w:pPr>
        <w:jc w:val="center"/>
        <w:rPr>
          <w:b/>
          <w:sz w:val="24"/>
          <w:szCs w:val="24"/>
        </w:rPr>
      </w:pPr>
    </w:p>
    <w:p w:rsidR="00727B34" w:rsidRPr="006F6BAA" w:rsidRDefault="0079219D" w:rsidP="009B0351">
      <w:pPr>
        <w:jc w:val="center"/>
        <w:rPr>
          <w:b/>
          <w:sz w:val="24"/>
          <w:szCs w:val="24"/>
        </w:rPr>
      </w:pPr>
      <w:r>
        <w:rPr>
          <w:b/>
          <w:sz w:val="24"/>
          <w:szCs w:val="24"/>
        </w:rPr>
        <w:t>9 June 2017</w:t>
      </w:r>
    </w:p>
    <w:p w:rsidR="005C787A" w:rsidRPr="006F6BAA" w:rsidRDefault="00482389">
      <w:pPr>
        <w:jc w:val="center"/>
        <w:rPr>
          <w:b/>
          <w:sz w:val="24"/>
          <w:szCs w:val="24"/>
          <w:bdr w:val="single" w:sz="4" w:space="0" w:color="auto"/>
          <w:shd w:val="clear" w:color="auto" w:fill="EEECE1"/>
        </w:rPr>
      </w:pPr>
      <w:r w:rsidRPr="006F6BAA">
        <w:rPr>
          <w:b/>
          <w:i/>
          <w:sz w:val="24"/>
          <w:szCs w:val="24"/>
          <w:highlight w:val="lightGray"/>
        </w:rPr>
        <w:br w:type="page"/>
      </w:r>
    </w:p>
    <w:p w:rsidR="0079219D" w:rsidRPr="0079219D" w:rsidRDefault="001B7BF2">
      <w:pPr>
        <w:pStyle w:val="TOC1"/>
        <w:rPr>
          <w:rFonts w:ascii="Times New Roman" w:eastAsiaTheme="minorEastAsia" w:hAnsi="Times New Roman"/>
          <w:caps w:val="0"/>
          <w:noProof/>
          <w:sz w:val="22"/>
          <w:szCs w:val="22"/>
        </w:rPr>
      </w:pPr>
      <w:r w:rsidRPr="006F6BAA">
        <w:rPr>
          <w:rFonts w:ascii="Times New Roman" w:hAnsi="Times New Roman"/>
          <w:b/>
          <w:sz w:val="24"/>
          <w:szCs w:val="24"/>
          <w:bdr w:val="single" w:sz="4" w:space="0" w:color="auto"/>
          <w:shd w:val="clear" w:color="auto" w:fill="EEECE1"/>
        </w:rPr>
        <w:lastRenderedPageBreak/>
        <w:fldChar w:fldCharType="begin"/>
      </w:r>
      <w:r w:rsidRPr="006F6BAA">
        <w:rPr>
          <w:rFonts w:ascii="Times New Roman" w:hAnsi="Times New Roman"/>
          <w:b/>
          <w:sz w:val="24"/>
          <w:szCs w:val="24"/>
          <w:bdr w:val="single" w:sz="4" w:space="0" w:color="auto"/>
          <w:shd w:val="clear" w:color="auto" w:fill="EEECE1"/>
        </w:rPr>
        <w:instrText xml:space="preserve"> TOC \o "1-3" \h \z \u </w:instrText>
      </w:r>
      <w:r w:rsidRPr="006F6BAA">
        <w:rPr>
          <w:rFonts w:ascii="Times New Roman" w:hAnsi="Times New Roman"/>
          <w:b/>
          <w:sz w:val="24"/>
          <w:szCs w:val="24"/>
          <w:bdr w:val="single" w:sz="4" w:space="0" w:color="auto"/>
          <w:shd w:val="clear" w:color="auto" w:fill="EEECE1"/>
        </w:rPr>
        <w:fldChar w:fldCharType="separate"/>
      </w:r>
      <w:hyperlink w:anchor="_Toc484788365" w:history="1">
        <w:r w:rsidR="0079219D" w:rsidRPr="0079219D">
          <w:rPr>
            <w:rStyle w:val="Hyperlink"/>
            <w:rFonts w:ascii="Times New Roman" w:hAnsi="Times New Roman"/>
            <w:noProof/>
          </w:rPr>
          <w:t>1.</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Introduction – OLAF and the HERCULE III Programme</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_Toc484788365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sidR="00D53FEF">
          <w:rPr>
            <w:rFonts w:ascii="Times New Roman" w:hAnsi="Times New Roman"/>
            <w:noProof/>
            <w:webHidden/>
          </w:rPr>
          <w:t>4</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66" w:history="1">
        <w:r w:rsidR="0079219D" w:rsidRPr="0079219D">
          <w:rPr>
            <w:rStyle w:val="Hyperlink"/>
            <w:rFonts w:ascii="Times New Roman" w:hAnsi="Times New Roman"/>
            <w:noProof/>
          </w:rPr>
          <w:t>1.1</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European Anti-Fraud Office (OLAF)</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_Toc484788366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4</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67" w:history="1">
        <w:r w:rsidR="0079219D" w:rsidRPr="0079219D">
          <w:rPr>
            <w:rStyle w:val="Hyperlink"/>
            <w:rFonts w:ascii="Times New Roman" w:hAnsi="Times New Roman"/>
            <w:noProof/>
          </w:rPr>
          <w:t>1.2</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Hercule III Programme</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_Toc484788367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4</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68" w:history="1">
        <w:r w:rsidR="0079219D" w:rsidRPr="0079219D">
          <w:rPr>
            <w:rStyle w:val="Hyperlink"/>
            <w:rFonts w:ascii="Times New Roman" w:hAnsi="Times New Roman"/>
            <w:noProof/>
          </w:rPr>
          <w:t>2.</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Subject of this call for proposals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_Toc484788368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5</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69" w:history="1">
        <w:r w:rsidR="0079219D" w:rsidRPr="0079219D">
          <w:rPr>
            <w:rStyle w:val="Hyperlink"/>
            <w:rFonts w:ascii="Times New Roman" w:hAnsi="Times New Roman"/>
            <w:noProof/>
          </w:rPr>
          <w:t>2.1</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Actions eligible for funding under the call for proposals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_Toc484788369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5</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70" w:history="1">
        <w:r w:rsidR="0079219D" w:rsidRPr="0079219D">
          <w:rPr>
            <w:rStyle w:val="Hyperlink"/>
            <w:rFonts w:ascii="Times New Roman" w:hAnsi="Times New Roman"/>
            <w:noProof/>
          </w:rPr>
          <w:t xml:space="preserve">2.2 </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Bodies and legal entities that can submit applications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_Toc484788370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6</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71" w:history="1">
        <w:r w:rsidR="0079219D" w:rsidRPr="0079219D">
          <w:rPr>
            <w:rStyle w:val="Hyperlink"/>
            <w:rFonts w:ascii="Times New Roman" w:hAnsi="Times New Roman"/>
            <w:noProof/>
          </w:rPr>
          <w:t>3.</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Expected results and Deliverables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_Toc484788371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6</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72" w:history="1">
        <w:r w:rsidR="0079219D" w:rsidRPr="0079219D">
          <w:rPr>
            <w:rStyle w:val="Hyperlink"/>
            <w:rFonts w:ascii="Times New Roman" w:hAnsi="Times New Roman"/>
            <w:noProof/>
          </w:rPr>
          <w:t>3.1</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Expected results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_Toc484788372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6</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73" w:history="1">
        <w:r w:rsidR="0079219D" w:rsidRPr="0079219D">
          <w:rPr>
            <w:rStyle w:val="Hyperlink"/>
            <w:rFonts w:ascii="Times New Roman" w:hAnsi="Times New Roman"/>
            <w:noProof/>
          </w:rPr>
          <w:t>3.2</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Deliverables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_Toc484788373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7</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74" w:history="1">
        <w:r w:rsidR="0079219D" w:rsidRPr="0079219D">
          <w:rPr>
            <w:rStyle w:val="Hyperlink"/>
            <w:rFonts w:ascii="Times New Roman" w:hAnsi="Times New Roman"/>
            <w:noProof/>
          </w:rPr>
          <w:t>4.</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Timetable</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_Toc484788374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8</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75" w:history="1">
        <w:r w:rsidR="0079219D" w:rsidRPr="0079219D">
          <w:rPr>
            <w:rStyle w:val="Hyperlink"/>
            <w:rFonts w:ascii="Times New Roman" w:hAnsi="Times New Roman"/>
            <w:noProof/>
          </w:rPr>
          <w:t>5.</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PRE-conditions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_Toc484788375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8</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76" w:history="1">
        <w:r w:rsidR="0079219D" w:rsidRPr="0079219D">
          <w:rPr>
            <w:rStyle w:val="Hyperlink"/>
            <w:rFonts w:ascii="Times New Roman" w:hAnsi="Times New Roman"/>
            <w:noProof/>
          </w:rPr>
          <w:t>6.</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Priority Topics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_Toc484788376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9</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77" w:history="1">
        <w:r w:rsidR="0079219D" w:rsidRPr="0079219D">
          <w:rPr>
            <w:rStyle w:val="Hyperlink"/>
            <w:rFonts w:ascii="Times New Roman" w:hAnsi="Times New Roman"/>
            <w:noProof/>
          </w:rPr>
          <w:t>7.</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Procedure for the examination of the applications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_Toc484788377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10</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78" w:history="1">
        <w:r w:rsidR="0079219D" w:rsidRPr="0079219D">
          <w:rPr>
            <w:rStyle w:val="Hyperlink"/>
            <w:rFonts w:ascii="Times New Roman" w:hAnsi="Times New Roman"/>
            <w:noProof/>
          </w:rPr>
          <w:t xml:space="preserve">7.1 </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Evaluation Committee</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_Toc484788378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10</w:t>
        </w:r>
        <w:r w:rsidR="0079219D" w:rsidRPr="0079219D">
          <w:rPr>
            <w:rFonts w:ascii="Times New Roman" w:hAnsi="Times New Roman"/>
            <w:noProof/>
            <w:webHidden/>
          </w:rPr>
          <w:fldChar w:fldCharType="end"/>
        </w:r>
      </w:hyperlink>
    </w:p>
    <w:p w:rsidR="0079219D" w:rsidRPr="0079219D" w:rsidRDefault="00D53FEF">
      <w:pPr>
        <w:pStyle w:val="TOC2"/>
        <w:rPr>
          <w:rFonts w:ascii="Times New Roman" w:eastAsiaTheme="minorEastAsia" w:hAnsi="Times New Roman"/>
          <w:noProof/>
          <w:sz w:val="22"/>
          <w:szCs w:val="22"/>
        </w:rPr>
      </w:pPr>
      <w:hyperlink w:anchor="_Toc484788379" w:history="1">
        <w:r w:rsidR="0079219D" w:rsidRPr="0079219D">
          <w:rPr>
            <w:rStyle w:val="Hyperlink"/>
            <w:rFonts w:ascii="Times New Roman" w:hAnsi="Times New Roman"/>
            <w:noProof/>
          </w:rPr>
          <w:t>7.2      Eligibility criteria</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_Toc484788379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10</w:t>
        </w:r>
        <w:r w:rsidR="0079219D" w:rsidRPr="0079219D">
          <w:rPr>
            <w:rFonts w:ascii="Times New Roman" w:hAnsi="Times New Roman"/>
            <w:noProof/>
            <w:webHidden/>
          </w:rPr>
          <w:fldChar w:fldCharType="end"/>
        </w:r>
      </w:hyperlink>
    </w:p>
    <w:p w:rsidR="0079219D" w:rsidRPr="0079219D" w:rsidRDefault="00D53FEF">
      <w:pPr>
        <w:pStyle w:val="TOC2"/>
        <w:rPr>
          <w:rFonts w:ascii="Times New Roman" w:eastAsiaTheme="minorEastAsia" w:hAnsi="Times New Roman"/>
          <w:noProof/>
          <w:sz w:val="22"/>
          <w:szCs w:val="22"/>
        </w:rPr>
      </w:pPr>
      <w:hyperlink w:anchor="_Toc484788380" w:history="1">
        <w:r w:rsidR="0079219D" w:rsidRPr="0079219D">
          <w:rPr>
            <w:rStyle w:val="Hyperlink"/>
            <w:rFonts w:ascii="Times New Roman" w:hAnsi="Times New Roman"/>
            <w:noProof/>
          </w:rPr>
          <w:t>7.3      Exclusion criteria</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_Toc484788380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10</w:t>
        </w:r>
        <w:r w:rsidR="0079219D" w:rsidRPr="0079219D">
          <w:rPr>
            <w:rFonts w:ascii="Times New Roman" w:hAnsi="Times New Roman"/>
            <w:noProof/>
            <w:webHidden/>
          </w:rPr>
          <w:fldChar w:fldCharType="end"/>
        </w:r>
      </w:hyperlink>
    </w:p>
    <w:p w:rsidR="0079219D" w:rsidRPr="0079219D" w:rsidRDefault="00D53FEF">
      <w:pPr>
        <w:pStyle w:val="TOC2"/>
        <w:rPr>
          <w:rFonts w:ascii="Times New Roman" w:eastAsiaTheme="minorEastAsia" w:hAnsi="Times New Roman"/>
          <w:noProof/>
          <w:sz w:val="22"/>
          <w:szCs w:val="22"/>
        </w:rPr>
      </w:pPr>
      <w:hyperlink w:anchor="_Toc484788381" w:history="1">
        <w:r w:rsidR="0079219D" w:rsidRPr="0079219D">
          <w:rPr>
            <w:rStyle w:val="Hyperlink"/>
            <w:rFonts w:ascii="Times New Roman" w:hAnsi="Times New Roman"/>
            <w:noProof/>
          </w:rPr>
          <w:t>7.4      Selection criteria</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_Toc484788381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11</w:t>
        </w:r>
        <w:r w:rsidR="0079219D" w:rsidRPr="0079219D">
          <w:rPr>
            <w:rFonts w:ascii="Times New Roman" w:hAnsi="Times New Roman"/>
            <w:noProof/>
            <w:webHidden/>
          </w:rPr>
          <w:fldChar w:fldCharType="end"/>
        </w:r>
      </w:hyperlink>
    </w:p>
    <w:p w:rsidR="0079219D" w:rsidRPr="0079219D" w:rsidRDefault="00D53FEF">
      <w:pPr>
        <w:pStyle w:val="TOC2"/>
        <w:rPr>
          <w:rFonts w:ascii="Times New Roman" w:eastAsiaTheme="minorEastAsia" w:hAnsi="Times New Roman"/>
          <w:noProof/>
          <w:sz w:val="22"/>
          <w:szCs w:val="22"/>
        </w:rPr>
      </w:pPr>
      <w:hyperlink w:anchor="_Toc484788382" w:history="1">
        <w:r w:rsidR="0079219D" w:rsidRPr="0079219D">
          <w:rPr>
            <w:rStyle w:val="Hyperlink"/>
            <w:rFonts w:ascii="Times New Roman" w:hAnsi="Times New Roman"/>
            <w:noProof/>
          </w:rPr>
          <w:t>7.5     Award criteria</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_Toc484788382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12</w:t>
        </w:r>
        <w:r w:rsidR="0079219D" w:rsidRPr="0079219D">
          <w:rPr>
            <w:rFonts w:ascii="Times New Roman" w:hAnsi="Times New Roman"/>
            <w:noProof/>
            <w:webHidden/>
          </w:rPr>
          <w:fldChar w:fldCharType="end"/>
        </w:r>
      </w:hyperlink>
    </w:p>
    <w:p w:rsidR="0079219D" w:rsidRPr="0079219D" w:rsidRDefault="00D53FEF">
      <w:pPr>
        <w:pStyle w:val="TOC2"/>
        <w:rPr>
          <w:rFonts w:ascii="Times New Roman" w:eastAsiaTheme="minorEastAsia" w:hAnsi="Times New Roman"/>
          <w:noProof/>
          <w:sz w:val="22"/>
          <w:szCs w:val="22"/>
        </w:rPr>
      </w:pPr>
      <w:hyperlink w:anchor="_Toc484788383" w:history="1">
        <w:r w:rsidR="0079219D" w:rsidRPr="0079219D">
          <w:rPr>
            <w:rStyle w:val="Hyperlink"/>
            <w:rFonts w:ascii="Times New Roman" w:hAnsi="Times New Roman"/>
            <w:noProof/>
          </w:rPr>
          <w:t>7.6      Criteria for co-financing grants up to 90% of the eligible costs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_Toc484788383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13</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84" w:history="1">
        <w:r w:rsidR="0079219D" w:rsidRPr="0079219D">
          <w:rPr>
            <w:rStyle w:val="Hyperlink"/>
            <w:rFonts w:ascii="Times New Roman" w:hAnsi="Times New Roman"/>
            <w:noProof/>
          </w:rPr>
          <w:t>8.</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Submission of an application</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_Toc484788384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13</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85" w:history="1">
        <w:r w:rsidR="0079219D" w:rsidRPr="0079219D">
          <w:rPr>
            <w:rStyle w:val="Hyperlink"/>
            <w:rFonts w:ascii="Times New Roman" w:hAnsi="Times New Roman"/>
            <w:noProof/>
          </w:rPr>
          <w:t xml:space="preserve">8.1 </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Content</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_Toc484788385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13</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86" w:history="1">
        <w:r w:rsidR="0079219D" w:rsidRPr="0079219D">
          <w:rPr>
            <w:rStyle w:val="Hyperlink"/>
            <w:rFonts w:ascii="Times New Roman" w:hAnsi="Times New Roman"/>
            <w:noProof/>
          </w:rPr>
          <w:t>8.2</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Language</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_Toc484788386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13</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87" w:history="1">
        <w:r w:rsidR="0079219D" w:rsidRPr="0079219D">
          <w:rPr>
            <w:rStyle w:val="Hyperlink"/>
            <w:rFonts w:ascii="Times New Roman" w:hAnsi="Times New Roman"/>
            <w:noProof/>
          </w:rPr>
          <w:t>8.3</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Deadline for the submission of applications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_Toc484788387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14</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88" w:history="1">
        <w:r w:rsidR="0079219D" w:rsidRPr="0079219D">
          <w:rPr>
            <w:rStyle w:val="Hyperlink"/>
            <w:rFonts w:ascii="Times New Roman" w:hAnsi="Times New Roman"/>
            <w:noProof/>
          </w:rPr>
          <w:t>9.</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Notification, Implementation and Payment</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_Toc484788388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14</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89" w:history="1">
        <w:r w:rsidR="0079219D" w:rsidRPr="0079219D">
          <w:rPr>
            <w:rStyle w:val="Hyperlink"/>
            <w:rFonts w:ascii="Times New Roman" w:hAnsi="Times New Roman"/>
            <w:noProof/>
          </w:rPr>
          <w:t>9.1</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Notification</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_Toc484788389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14</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90" w:history="1">
        <w:r w:rsidR="0079219D" w:rsidRPr="0079219D">
          <w:rPr>
            <w:rStyle w:val="Hyperlink"/>
            <w:rFonts w:ascii="Times New Roman" w:hAnsi="Times New Roman"/>
            <w:noProof/>
          </w:rPr>
          <w:t>9.2</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Implementation</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_Toc484788390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15</w:t>
        </w:r>
        <w:r w:rsidR="0079219D" w:rsidRPr="0079219D">
          <w:rPr>
            <w:rFonts w:ascii="Times New Roman" w:hAnsi="Times New Roman"/>
            <w:noProof/>
            <w:webHidden/>
          </w:rPr>
          <w:fldChar w:fldCharType="end"/>
        </w:r>
      </w:hyperlink>
    </w:p>
    <w:p w:rsidR="0079219D" w:rsidRPr="0079219D" w:rsidRDefault="00D53FEF">
      <w:pPr>
        <w:pStyle w:val="TOC2"/>
        <w:tabs>
          <w:tab w:val="left" w:pos="1077"/>
        </w:tabs>
        <w:rPr>
          <w:rFonts w:ascii="Times New Roman" w:eastAsiaTheme="minorEastAsia" w:hAnsi="Times New Roman"/>
          <w:noProof/>
          <w:sz w:val="22"/>
          <w:szCs w:val="22"/>
        </w:rPr>
      </w:pPr>
      <w:hyperlink w:anchor="_Toc484788391" w:history="1">
        <w:r w:rsidR="0079219D" w:rsidRPr="0079219D">
          <w:rPr>
            <w:rStyle w:val="Hyperlink"/>
            <w:rFonts w:ascii="Times New Roman" w:hAnsi="Times New Roman"/>
            <w:noProof/>
          </w:rPr>
          <w:t xml:space="preserve">9.3 </w:t>
        </w:r>
        <w:r w:rsidR="0079219D" w:rsidRPr="0079219D">
          <w:rPr>
            <w:rFonts w:ascii="Times New Roman" w:eastAsiaTheme="minorEastAsia" w:hAnsi="Times New Roman"/>
            <w:noProof/>
            <w:sz w:val="22"/>
            <w:szCs w:val="22"/>
          </w:rPr>
          <w:tab/>
        </w:r>
        <w:r w:rsidR="0079219D" w:rsidRPr="0079219D">
          <w:rPr>
            <w:rStyle w:val="Hyperlink"/>
            <w:rFonts w:ascii="Times New Roman" w:hAnsi="Times New Roman"/>
            <w:noProof/>
          </w:rPr>
          <w:t>Payment</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_Toc484788391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15</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92" w:history="1">
        <w:r w:rsidR="0079219D" w:rsidRPr="0079219D">
          <w:rPr>
            <w:rStyle w:val="Hyperlink"/>
            <w:rFonts w:ascii="Times New Roman" w:hAnsi="Times New Roman"/>
            <w:noProof/>
          </w:rPr>
          <w:t>10.</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Publicity</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_Toc484788392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16</w:t>
        </w:r>
        <w:r w:rsidR="0079219D" w:rsidRPr="0079219D">
          <w:rPr>
            <w:rFonts w:ascii="Times New Roman" w:hAnsi="Times New Roman"/>
            <w:noProof/>
            <w:webHidden/>
          </w:rPr>
          <w:fldChar w:fldCharType="end"/>
        </w:r>
      </w:hyperlink>
    </w:p>
    <w:p w:rsidR="0079219D" w:rsidRPr="0079219D" w:rsidRDefault="00D53FEF">
      <w:pPr>
        <w:pStyle w:val="TOC2"/>
        <w:rPr>
          <w:rFonts w:ascii="Times New Roman" w:eastAsiaTheme="minorEastAsia" w:hAnsi="Times New Roman"/>
          <w:noProof/>
          <w:sz w:val="22"/>
          <w:szCs w:val="22"/>
        </w:rPr>
      </w:pPr>
      <w:hyperlink w:anchor="_Toc484788393" w:history="1">
        <w:r w:rsidR="0079219D" w:rsidRPr="0079219D">
          <w:rPr>
            <w:rStyle w:val="Hyperlink"/>
            <w:rFonts w:ascii="Times New Roman" w:hAnsi="Times New Roman"/>
            <w:noProof/>
          </w:rPr>
          <w:t>10.1     Publicity by the European Commission</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_Toc484788393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16</w:t>
        </w:r>
        <w:r w:rsidR="0079219D" w:rsidRPr="0079219D">
          <w:rPr>
            <w:rFonts w:ascii="Times New Roman" w:hAnsi="Times New Roman"/>
            <w:noProof/>
            <w:webHidden/>
          </w:rPr>
          <w:fldChar w:fldCharType="end"/>
        </w:r>
      </w:hyperlink>
    </w:p>
    <w:p w:rsidR="0079219D" w:rsidRPr="0079219D" w:rsidRDefault="00D53FEF">
      <w:pPr>
        <w:pStyle w:val="TOC2"/>
        <w:rPr>
          <w:rFonts w:ascii="Times New Roman" w:eastAsiaTheme="minorEastAsia" w:hAnsi="Times New Roman"/>
          <w:noProof/>
          <w:sz w:val="22"/>
          <w:szCs w:val="22"/>
        </w:rPr>
      </w:pPr>
      <w:hyperlink w:anchor="_Toc484788394" w:history="1">
        <w:r w:rsidR="0079219D" w:rsidRPr="0079219D">
          <w:rPr>
            <w:rStyle w:val="Hyperlink"/>
            <w:rFonts w:ascii="Times New Roman" w:hAnsi="Times New Roman"/>
            <w:noProof/>
          </w:rPr>
          <w:t>10.2      Publicity by the beneficiary of a grant</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_Toc484788394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16</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95" w:history="1">
        <w:r w:rsidR="0079219D" w:rsidRPr="0079219D">
          <w:rPr>
            <w:rStyle w:val="Hyperlink"/>
            <w:rFonts w:ascii="Times New Roman" w:hAnsi="Times New Roman"/>
            <w:noProof/>
          </w:rPr>
          <w:t>11.</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Questions</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_Toc484788395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17</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96" w:history="1">
        <w:r w:rsidR="0079219D" w:rsidRPr="0079219D">
          <w:rPr>
            <w:rStyle w:val="Hyperlink"/>
            <w:rFonts w:ascii="Times New Roman" w:hAnsi="Times New Roman"/>
            <w:noProof/>
          </w:rPr>
          <w:t>12.</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Data protection</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_Toc484788396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17</w:t>
        </w:r>
        <w:r w:rsidR="0079219D" w:rsidRPr="0079219D">
          <w:rPr>
            <w:rFonts w:ascii="Times New Roman" w:hAnsi="Times New Roman"/>
            <w:noProof/>
            <w:webHidden/>
          </w:rPr>
          <w:fldChar w:fldCharType="end"/>
        </w:r>
      </w:hyperlink>
    </w:p>
    <w:p w:rsidR="0079219D" w:rsidRPr="0079219D" w:rsidRDefault="00D53FEF">
      <w:pPr>
        <w:pStyle w:val="TOC1"/>
        <w:rPr>
          <w:rFonts w:ascii="Times New Roman" w:eastAsiaTheme="minorEastAsia" w:hAnsi="Times New Roman"/>
          <w:caps w:val="0"/>
          <w:noProof/>
          <w:sz w:val="22"/>
          <w:szCs w:val="22"/>
        </w:rPr>
      </w:pPr>
      <w:hyperlink w:anchor="_Toc484788397" w:history="1">
        <w:r w:rsidR="0079219D" w:rsidRPr="0079219D">
          <w:rPr>
            <w:rStyle w:val="Hyperlink"/>
            <w:rFonts w:ascii="Times New Roman" w:hAnsi="Times New Roman"/>
            <w:noProof/>
          </w:rPr>
          <w:t>13.</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Complaints to the European Ombudsman</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_Toc484788397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18</w:t>
        </w:r>
        <w:r w:rsidR="0079219D" w:rsidRPr="0079219D">
          <w:rPr>
            <w:rFonts w:ascii="Times New Roman" w:hAnsi="Times New Roman"/>
            <w:noProof/>
            <w:webHidden/>
          </w:rPr>
          <w:fldChar w:fldCharType="end"/>
        </w:r>
      </w:hyperlink>
    </w:p>
    <w:p w:rsidR="0079219D" w:rsidRDefault="00D53FEF">
      <w:pPr>
        <w:pStyle w:val="TOC1"/>
        <w:rPr>
          <w:rFonts w:asciiTheme="minorHAnsi" w:eastAsiaTheme="minorEastAsia" w:hAnsiTheme="minorHAnsi" w:cstheme="minorBidi"/>
          <w:caps w:val="0"/>
          <w:noProof/>
          <w:sz w:val="22"/>
          <w:szCs w:val="22"/>
        </w:rPr>
      </w:pPr>
      <w:hyperlink w:anchor="_Toc484788398" w:history="1">
        <w:r w:rsidR="0079219D" w:rsidRPr="0079219D">
          <w:rPr>
            <w:rStyle w:val="Hyperlink"/>
            <w:rFonts w:ascii="Times New Roman" w:hAnsi="Times New Roman"/>
            <w:noProof/>
          </w:rPr>
          <w:t>14.</w:t>
        </w:r>
        <w:r w:rsidR="0079219D" w:rsidRPr="0079219D">
          <w:rPr>
            <w:rFonts w:ascii="Times New Roman" w:eastAsiaTheme="minorEastAsia" w:hAnsi="Times New Roman"/>
            <w:caps w:val="0"/>
            <w:noProof/>
            <w:sz w:val="22"/>
            <w:szCs w:val="22"/>
          </w:rPr>
          <w:tab/>
        </w:r>
        <w:r w:rsidR="0079219D" w:rsidRPr="0079219D">
          <w:rPr>
            <w:rStyle w:val="Hyperlink"/>
            <w:rFonts w:ascii="Times New Roman" w:hAnsi="Times New Roman"/>
            <w:noProof/>
          </w:rPr>
          <w:t>additional information</w:t>
        </w:r>
        <w:r w:rsidR="0079219D" w:rsidRPr="0079219D">
          <w:rPr>
            <w:rFonts w:ascii="Times New Roman" w:hAnsi="Times New Roman"/>
            <w:noProof/>
            <w:webHidden/>
          </w:rPr>
          <w:tab/>
        </w:r>
        <w:r w:rsidR="0079219D" w:rsidRPr="0079219D">
          <w:rPr>
            <w:rFonts w:ascii="Times New Roman" w:hAnsi="Times New Roman"/>
            <w:noProof/>
            <w:webHidden/>
          </w:rPr>
          <w:fldChar w:fldCharType="begin"/>
        </w:r>
        <w:r w:rsidR="0079219D" w:rsidRPr="0079219D">
          <w:rPr>
            <w:rFonts w:ascii="Times New Roman" w:hAnsi="Times New Roman"/>
            <w:noProof/>
            <w:webHidden/>
          </w:rPr>
          <w:instrText xml:space="preserve"> PAGEREF _Toc484788398 \h </w:instrText>
        </w:r>
        <w:r w:rsidR="0079219D" w:rsidRPr="0079219D">
          <w:rPr>
            <w:rFonts w:ascii="Times New Roman" w:hAnsi="Times New Roman"/>
            <w:noProof/>
            <w:webHidden/>
          </w:rPr>
        </w:r>
        <w:r w:rsidR="0079219D" w:rsidRPr="0079219D">
          <w:rPr>
            <w:rFonts w:ascii="Times New Roman" w:hAnsi="Times New Roman"/>
            <w:noProof/>
            <w:webHidden/>
          </w:rPr>
          <w:fldChar w:fldCharType="separate"/>
        </w:r>
        <w:r>
          <w:rPr>
            <w:rFonts w:ascii="Times New Roman" w:hAnsi="Times New Roman"/>
            <w:noProof/>
            <w:webHidden/>
          </w:rPr>
          <w:t>19</w:t>
        </w:r>
        <w:r w:rsidR="0079219D" w:rsidRPr="0079219D">
          <w:rPr>
            <w:rFonts w:ascii="Times New Roman" w:hAnsi="Times New Roman"/>
            <w:noProof/>
            <w:webHidden/>
          </w:rPr>
          <w:fldChar w:fldCharType="end"/>
        </w:r>
      </w:hyperlink>
    </w:p>
    <w:p w:rsidR="001B7BF2" w:rsidRPr="006F6BAA" w:rsidRDefault="001B7BF2" w:rsidP="00F572B9">
      <w:pPr>
        <w:jc w:val="center"/>
        <w:rPr>
          <w:b/>
          <w:sz w:val="24"/>
          <w:szCs w:val="24"/>
          <w:bdr w:val="single" w:sz="4" w:space="0" w:color="auto"/>
          <w:shd w:val="clear" w:color="auto" w:fill="EEECE1"/>
        </w:rPr>
      </w:pPr>
      <w:r w:rsidRPr="006F6BAA">
        <w:rPr>
          <w:b/>
          <w:sz w:val="24"/>
          <w:szCs w:val="24"/>
          <w:bdr w:val="single" w:sz="4" w:space="0" w:color="auto"/>
          <w:shd w:val="clear" w:color="auto" w:fill="EEECE1"/>
        </w:rPr>
        <w:fldChar w:fldCharType="end"/>
      </w:r>
    </w:p>
    <w:p w:rsidR="0079219D" w:rsidRDefault="0079219D">
      <w:pPr>
        <w:rPr>
          <w:b/>
          <w:sz w:val="24"/>
          <w:szCs w:val="24"/>
          <w:bdr w:val="single" w:sz="4" w:space="0" w:color="auto"/>
          <w:shd w:val="clear" w:color="auto" w:fill="EEECE1"/>
        </w:rPr>
      </w:pPr>
      <w:r>
        <w:rPr>
          <w:b/>
          <w:sz w:val="24"/>
          <w:szCs w:val="24"/>
          <w:bdr w:val="single" w:sz="4" w:space="0" w:color="auto"/>
          <w:shd w:val="clear" w:color="auto" w:fill="EEECE1"/>
        </w:rPr>
        <w:br w:type="page"/>
      </w:r>
    </w:p>
    <w:p w:rsidR="0084391B" w:rsidRPr="006F6BAA" w:rsidRDefault="0084391B">
      <w:pPr>
        <w:rPr>
          <w:b/>
          <w:bCs/>
          <w:smallCaps/>
          <w:noProof/>
          <w:sz w:val="24"/>
          <w:szCs w:val="24"/>
        </w:rPr>
      </w:pPr>
      <w:r w:rsidRPr="006F6BAA">
        <w:rPr>
          <w:b/>
          <w:bCs/>
          <w:smallCaps/>
          <w:noProof/>
          <w:sz w:val="24"/>
          <w:szCs w:val="24"/>
        </w:rPr>
        <w:lastRenderedPageBreak/>
        <w:t>OUTLINE</w:t>
      </w:r>
    </w:p>
    <w:p w:rsidR="00187844" w:rsidRPr="006F6BAA" w:rsidRDefault="00187844">
      <w:pPr>
        <w:rPr>
          <w:caps/>
          <w:color w:val="1F497D" w:themeColor="text2"/>
          <w:sz w:val="24"/>
          <w:szCs w:val="24"/>
        </w:rPr>
      </w:pPr>
    </w:p>
    <w:p w:rsidR="000664FC" w:rsidRPr="006F6BAA" w:rsidRDefault="000664FC" w:rsidP="00527D60">
      <w:pPr>
        <w:jc w:val="both"/>
        <w:rPr>
          <w:sz w:val="24"/>
          <w:szCs w:val="24"/>
        </w:rPr>
      </w:pPr>
      <w:r w:rsidRPr="006F6BAA">
        <w:rPr>
          <w:sz w:val="24"/>
          <w:szCs w:val="24"/>
        </w:rPr>
        <w:t>The Hercule III Programme (“The Programme”) is an EU programme adopted by Regulation 250/2014</w:t>
      </w:r>
      <w:r w:rsidRPr="006F6BAA">
        <w:rPr>
          <w:sz w:val="24"/>
          <w:szCs w:val="24"/>
          <w:vertAlign w:val="superscript"/>
        </w:rPr>
        <w:footnoteReference w:id="1"/>
      </w:r>
      <w:r w:rsidRPr="006F6BAA">
        <w:rPr>
          <w:sz w:val="24"/>
          <w:szCs w:val="24"/>
        </w:rPr>
        <w:t xml:space="preserve"> of the European Parliament and the Council. The general objective</w:t>
      </w:r>
      <w:r w:rsidRPr="006F6BAA">
        <w:rPr>
          <w:sz w:val="24"/>
          <w:szCs w:val="24"/>
          <w:vertAlign w:val="superscript"/>
        </w:rPr>
        <w:footnoteReference w:id="2"/>
      </w:r>
      <w:r w:rsidRPr="006F6BAA">
        <w:rPr>
          <w:sz w:val="24"/>
          <w:szCs w:val="24"/>
        </w:rPr>
        <w:t xml:space="preserve"> of the Programme is to protect the Union’s financial interest and its specific objective</w:t>
      </w:r>
      <w:r w:rsidRPr="006F6BAA">
        <w:rPr>
          <w:sz w:val="24"/>
          <w:szCs w:val="24"/>
          <w:vertAlign w:val="superscript"/>
        </w:rPr>
        <w:footnoteReference w:id="3"/>
      </w:r>
      <w:r w:rsidRPr="006F6BAA">
        <w:rPr>
          <w:sz w:val="24"/>
          <w:szCs w:val="24"/>
        </w:rPr>
        <w:t xml:space="preserve"> is to prevent and combat fraud, corruption and any other illegal activities affecting the Union’s financial interests. The Programme is implemented by the European Anti-Fraud Office (OLAF) of the European Commission on the basis of annual work programmes. The annual work programme </w:t>
      </w:r>
      <w:r w:rsidR="00013920" w:rsidRPr="006F6BAA">
        <w:rPr>
          <w:sz w:val="24"/>
          <w:szCs w:val="24"/>
        </w:rPr>
        <w:t>2017</w:t>
      </w:r>
      <w:r w:rsidRPr="006F6BAA">
        <w:rPr>
          <w:sz w:val="24"/>
          <w:szCs w:val="24"/>
        </w:rPr>
        <w:t xml:space="preserve"> (AWP</w:t>
      </w:r>
      <w:r w:rsidR="00013920" w:rsidRPr="006F6BAA">
        <w:rPr>
          <w:sz w:val="24"/>
          <w:szCs w:val="24"/>
        </w:rPr>
        <w:t>2017</w:t>
      </w:r>
      <w:r w:rsidRPr="006F6BAA">
        <w:rPr>
          <w:sz w:val="24"/>
          <w:szCs w:val="24"/>
        </w:rPr>
        <w:t xml:space="preserve">) was adopted by a Financing Decision </w:t>
      </w:r>
      <w:r w:rsidR="00745C24" w:rsidRPr="006F6BAA">
        <w:rPr>
          <w:sz w:val="24"/>
          <w:szCs w:val="24"/>
        </w:rPr>
        <w:t>201</w:t>
      </w:r>
      <w:r w:rsidR="00013920" w:rsidRPr="006F6BAA">
        <w:rPr>
          <w:sz w:val="24"/>
          <w:szCs w:val="24"/>
        </w:rPr>
        <w:t>7</w:t>
      </w:r>
      <w:r w:rsidRPr="006F6BAA">
        <w:rPr>
          <w:sz w:val="24"/>
          <w:szCs w:val="24"/>
          <w:vertAlign w:val="superscript"/>
        </w:rPr>
        <w:footnoteReference w:id="4"/>
      </w:r>
      <w:r w:rsidRPr="006F6BAA">
        <w:rPr>
          <w:sz w:val="24"/>
          <w:szCs w:val="24"/>
        </w:rPr>
        <w:t xml:space="preserve"> (FD</w:t>
      </w:r>
      <w:r w:rsidR="00013920" w:rsidRPr="006F6BAA">
        <w:rPr>
          <w:sz w:val="24"/>
          <w:szCs w:val="24"/>
        </w:rPr>
        <w:t>2017</w:t>
      </w:r>
      <w:r w:rsidRPr="006F6BAA">
        <w:rPr>
          <w:sz w:val="24"/>
          <w:szCs w:val="24"/>
        </w:rPr>
        <w:t>) that provides –inter alia- for the organisation of a "L</w:t>
      </w:r>
      <w:r w:rsidR="00496AA5" w:rsidRPr="006F6BAA">
        <w:rPr>
          <w:sz w:val="24"/>
          <w:szCs w:val="24"/>
        </w:rPr>
        <w:t>egal</w:t>
      </w:r>
      <w:r w:rsidRPr="006F6BAA">
        <w:rPr>
          <w:sz w:val="24"/>
          <w:szCs w:val="24"/>
        </w:rPr>
        <w:t xml:space="preserve"> Training and Studies" Call for Proposals in </w:t>
      </w:r>
      <w:r w:rsidR="00496AA5" w:rsidRPr="006F6BAA">
        <w:rPr>
          <w:sz w:val="24"/>
          <w:szCs w:val="24"/>
        </w:rPr>
        <w:t>2017</w:t>
      </w:r>
      <w:r w:rsidR="00CE58F4" w:rsidRPr="006F6BAA">
        <w:rPr>
          <w:sz w:val="24"/>
          <w:szCs w:val="24"/>
        </w:rPr>
        <w:t>. The purpose of this call is</w:t>
      </w:r>
      <w:r w:rsidRPr="006F6BAA">
        <w:rPr>
          <w:sz w:val="24"/>
          <w:szCs w:val="24"/>
        </w:rPr>
        <w:t xml:space="preserve"> to invite </w:t>
      </w:r>
      <w:r w:rsidR="008E7C47" w:rsidRPr="006F6BAA">
        <w:rPr>
          <w:sz w:val="24"/>
          <w:szCs w:val="24"/>
        </w:rPr>
        <w:t xml:space="preserve">national and regional administrations as well as </w:t>
      </w:r>
      <w:r w:rsidRPr="006F6BAA">
        <w:rPr>
          <w:sz w:val="24"/>
          <w:szCs w:val="24"/>
        </w:rPr>
        <w:t>research and educational institutes and non-profit-making entities to submit applicat</w:t>
      </w:r>
      <w:r w:rsidR="007427D9" w:rsidRPr="006F6BAA">
        <w:rPr>
          <w:sz w:val="24"/>
          <w:szCs w:val="24"/>
        </w:rPr>
        <w:t xml:space="preserve">ions for </w:t>
      </w:r>
      <w:r w:rsidR="00CE58F4" w:rsidRPr="006F6BAA">
        <w:rPr>
          <w:sz w:val="24"/>
          <w:szCs w:val="24"/>
        </w:rPr>
        <w:t xml:space="preserve">three </w:t>
      </w:r>
      <w:r w:rsidR="00350A8B" w:rsidRPr="006F6BAA">
        <w:rPr>
          <w:sz w:val="24"/>
          <w:szCs w:val="24"/>
        </w:rPr>
        <w:t>topics</w:t>
      </w:r>
      <w:r w:rsidRPr="006F6BAA">
        <w:rPr>
          <w:sz w:val="24"/>
          <w:szCs w:val="24"/>
          <w:vertAlign w:val="superscript"/>
        </w:rPr>
        <w:footnoteReference w:id="5"/>
      </w:r>
      <w:r w:rsidR="00751330" w:rsidRPr="006F6BAA">
        <w:rPr>
          <w:sz w:val="24"/>
          <w:szCs w:val="24"/>
        </w:rPr>
        <w:t>, aimed at</w:t>
      </w:r>
      <w:r w:rsidRPr="006F6BAA">
        <w:rPr>
          <w:sz w:val="24"/>
          <w:szCs w:val="24"/>
        </w:rPr>
        <w:t>:</w:t>
      </w:r>
    </w:p>
    <w:p w:rsidR="00C71C8D" w:rsidRPr="006F6BAA" w:rsidRDefault="00C71C8D" w:rsidP="008B6097">
      <w:pPr>
        <w:pStyle w:val="ListParagraph"/>
        <w:numPr>
          <w:ilvl w:val="0"/>
          <w:numId w:val="17"/>
        </w:numPr>
        <w:spacing w:before="120"/>
        <w:jc w:val="both"/>
        <w:rPr>
          <w:sz w:val="24"/>
          <w:szCs w:val="24"/>
        </w:rPr>
      </w:pPr>
      <w:r w:rsidRPr="006F6BAA">
        <w:rPr>
          <w:sz w:val="24"/>
          <w:szCs w:val="24"/>
        </w:rPr>
        <w:t>Developing high-profile research activities, including studies in comparative law</w:t>
      </w:r>
      <w:r w:rsidR="00751330" w:rsidRPr="006F6BAA">
        <w:rPr>
          <w:sz w:val="24"/>
          <w:szCs w:val="24"/>
        </w:rPr>
        <w:t xml:space="preserve"> (including dissemination of the results and a concluding conference, where applicable)</w:t>
      </w:r>
      <w:r w:rsidRPr="006F6BAA">
        <w:rPr>
          <w:sz w:val="24"/>
          <w:szCs w:val="24"/>
        </w:rPr>
        <w:t>;</w:t>
      </w:r>
    </w:p>
    <w:p w:rsidR="0075492A" w:rsidRPr="006F6BAA" w:rsidRDefault="00751330" w:rsidP="00DA7CA1">
      <w:pPr>
        <w:pStyle w:val="ListParagraph"/>
        <w:numPr>
          <w:ilvl w:val="0"/>
          <w:numId w:val="17"/>
        </w:numPr>
        <w:jc w:val="both"/>
        <w:rPr>
          <w:sz w:val="24"/>
          <w:szCs w:val="24"/>
        </w:rPr>
      </w:pPr>
      <w:r w:rsidRPr="006F6BAA">
        <w:rPr>
          <w:sz w:val="24"/>
          <w:szCs w:val="24"/>
        </w:rPr>
        <w:t>Increasing c</w:t>
      </w:r>
      <w:r w:rsidR="002D0C5D" w:rsidRPr="006F6BAA">
        <w:rPr>
          <w:sz w:val="24"/>
          <w:szCs w:val="24"/>
        </w:rPr>
        <w:t xml:space="preserve">ooperation </w:t>
      </w:r>
      <w:r w:rsidRPr="006F6BAA">
        <w:rPr>
          <w:sz w:val="24"/>
          <w:szCs w:val="24"/>
        </w:rPr>
        <w:t xml:space="preserve">and awareness among </w:t>
      </w:r>
      <w:r w:rsidR="002D0C5D" w:rsidRPr="006F6BAA">
        <w:rPr>
          <w:sz w:val="24"/>
          <w:szCs w:val="24"/>
        </w:rPr>
        <w:t>practitioners and academics (</w:t>
      </w:r>
      <w:r w:rsidRPr="006F6BAA">
        <w:rPr>
          <w:sz w:val="24"/>
          <w:szCs w:val="24"/>
        </w:rPr>
        <w:t xml:space="preserve">through conferences, </w:t>
      </w:r>
      <w:r w:rsidR="002D0C5D" w:rsidRPr="006F6BAA">
        <w:rPr>
          <w:sz w:val="24"/>
          <w:szCs w:val="24"/>
        </w:rPr>
        <w:t>including the organisation of the annual meeting of the presidents of the Associations for European Criminal Law and for the Protection of EU Financial Interests)</w:t>
      </w:r>
      <w:r w:rsidR="007528BC" w:rsidRPr="006F6BAA">
        <w:rPr>
          <w:sz w:val="24"/>
          <w:szCs w:val="24"/>
        </w:rPr>
        <w:t>;</w:t>
      </w:r>
      <w:r w:rsidR="002D0C5D" w:rsidRPr="006F6BAA">
        <w:rPr>
          <w:sz w:val="24"/>
          <w:szCs w:val="24"/>
        </w:rPr>
        <w:t xml:space="preserve"> </w:t>
      </w:r>
    </w:p>
    <w:p w:rsidR="001D7A49" w:rsidRPr="006F6BAA" w:rsidRDefault="001F58E3" w:rsidP="00DA7CA1">
      <w:pPr>
        <w:pStyle w:val="ListParagraph"/>
        <w:numPr>
          <w:ilvl w:val="0"/>
          <w:numId w:val="17"/>
        </w:numPr>
        <w:jc w:val="both"/>
        <w:rPr>
          <w:sz w:val="24"/>
          <w:szCs w:val="24"/>
        </w:rPr>
      </w:pPr>
      <w:r w:rsidRPr="006F6BAA">
        <w:rPr>
          <w:sz w:val="24"/>
          <w:szCs w:val="24"/>
        </w:rPr>
        <w:t>Developing periodical scientific publications and other</w:t>
      </w:r>
      <w:r w:rsidR="001E6BFD" w:rsidRPr="006F6BAA">
        <w:rPr>
          <w:sz w:val="24"/>
          <w:szCs w:val="24"/>
        </w:rPr>
        <w:t xml:space="preserve"> tools for the</w:t>
      </w:r>
      <w:r w:rsidRPr="006F6BAA">
        <w:rPr>
          <w:sz w:val="24"/>
          <w:szCs w:val="24"/>
        </w:rPr>
        <w:t xml:space="preserve"> </w:t>
      </w:r>
      <w:r w:rsidR="002D0C5D" w:rsidRPr="006F6BAA">
        <w:rPr>
          <w:sz w:val="24"/>
          <w:szCs w:val="24"/>
        </w:rPr>
        <w:t>dissemination of scientific knowledge.</w:t>
      </w:r>
    </w:p>
    <w:p w:rsidR="002D0C5D" w:rsidRPr="006F6BAA" w:rsidRDefault="002D0C5D" w:rsidP="002D0C5D">
      <w:pPr>
        <w:pStyle w:val="ListParagraph"/>
        <w:jc w:val="both"/>
        <w:rPr>
          <w:sz w:val="24"/>
          <w:szCs w:val="24"/>
        </w:rPr>
      </w:pPr>
    </w:p>
    <w:p w:rsidR="000664FC" w:rsidRPr="006F6BAA" w:rsidRDefault="000664FC" w:rsidP="00527D60">
      <w:pPr>
        <w:jc w:val="both"/>
        <w:rPr>
          <w:sz w:val="24"/>
          <w:szCs w:val="24"/>
        </w:rPr>
      </w:pPr>
      <w:r w:rsidRPr="006F6BAA">
        <w:rPr>
          <w:sz w:val="24"/>
          <w:szCs w:val="24"/>
        </w:rPr>
        <w:t xml:space="preserve">The implementation of the specific actions shall contribute to the achievement of the programme's objectives. </w:t>
      </w:r>
      <w:proofErr w:type="gramStart"/>
      <w:r w:rsidR="001122FA" w:rsidRPr="006F6BAA">
        <w:rPr>
          <w:sz w:val="24"/>
          <w:szCs w:val="24"/>
        </w:rPr>
        <w:t>The overall budget in 2017</w:t>
      </w:r>
      <w:r w:rsidRPr="006F6BAA">
        <w:rPr>
          <w:sz w:val="24"/>
          <w:szCs w:val="24"/>
        </w:rPr>
        <w:t xml:space="preserve"> for "</w:t>
      </w:r>
      <w:r w:rsidR="00614CAC" w:rsidRPr="006F6BAA">
        <w:rPr>
          <w:sz w:val="24"/>
          <w:szCs w:val="24"/>
        </w:rPr>
        <w:t>L</w:t>
      </w:r>
      <w:r w:rsidR="004B75B9" w:rsidRPr="006F6BAA">
        <w:rPr>
          <w:sz w:val="24"/>
          <w:szCs w:val="24"/>
        </w:rPr>
        <w:t>aw</w:t>
      </w:r>
      <w:r w:rsidR="00614CAC" w:rsidRPr="006F6BAA">
        <w:rPr>
          <w:sz w:val="24"/>
          <w:szCs w:val="24"/>
        </w:rPr>
        <w:t xml:space="preserve"> Training and Studies</w:t>
      </w:r>
      <w:r w:rsidRPr="006F6BAA">
        <w:rPr>
          <w:sz w:val="24"/>
          <w:szCs w:val="24"/>
        </w:rPr>
        <w:t>"</w:t>
      </w:r>
      <w:r w:rsidR="00D85C10" w:rsidRPr="006F6BAA">
        <w:rPr>
          <w:rStyle w:val="FootnoteReference"/>
          <w:sz w:val="24"/>
          <w:szCs w:val="24"/>
        </w:rPr>
        <w:footnoteReference w:id="6"/>
      </w:r>
      <w:r w:rsidR="00CF38E6" w:rsidRPr="006F6BAA">
        <w:rPr>
          <w:sz w:val="24"/>
          <w:szCs w:val="24"/>
        </w:rPr>
        <w:t xml:space="preserve"> </w:t>
      </w:r>
      <w:r w:rsidRPr="006F6BAA">
        <w:rPr>
          <w:sz w:val="24"/>
          <w:szCs w:val="24"/>
        </w:rPr>
        <w:t>amounts to EUR</w:t>
      </w:r>
      <w:r w:rsidR="00745C24" w:rsidRPr="006F6BAA">
        <w:rPr>
          <w:sz w:val="24"/>
          <w:szCs w:val="24"/>
        </w:rPr>
        <w:t> </w:t>
      </w:r>
      <w:r w:rsidR="00C71C8D" w:rsidRPr="006F6BAA">
        <w:rPr>
          <w:sz w:val="24"/>
          <w:szCs w:val="24"/>
        </w:rPr>
        <w:t>500</w:t>
      </w:r>
      <w:r w:rsidR="00745C24" w:rsidRPr="006F6BAA">
        <w:rPr>
          <w:sz w:val="24"/>
          <w:szCs w:val="24"/>
        </w:rPr>
        <w:t> </w:t>
      </w:r>
      <w:r w:rsidR="00C71C8D" w:rsidRPr="006F6BAA">
        <w:rPr>
          <w:sz w:val="24"/>
          <w:szCs w:val="24"/>
        </w:rPr>
        <w:t>000</w:t>
      </w:r>
      <w:r w:rsidRPr="006F6BAA">
        <w:rPr>
          <w:sz w:val="24"/>
          <w:szCs w:val="24"/>
        </w:rPr>
        <w:t>.</w:t>
      </w:r>
      <w:proofErr w:type="gramEnd"/>
      <w:r w:rsidR="008B6097" w:rsidRPr="006F6BAA">
        <w:rPr>
          <w:sz w:val="24"/>
          <w:szCs w:val="24"/>
        </w:rPr>
        <w:t xml:space="preserve"> </w:t>
      </w:r>
      <w:r w:rsidRPr="006F6BAA">
        <w:rPr>
          <w:sz w:val="24"/>
          <w:szCs w:val="24"/>
        </w:rPr>
        <w:t>The deadline for the submission of applications under this Call is</w:t>
      </w:r>
      <w:r w:rsidR="008B6097" w:rsidRPr="006F6BAA">
        <w:rPr>
          <w:sz w:val="24"/>
          <w:szCs w:val="24"/>
        </w:rPr>
        <w:t>:</w:t>
      </w:r>
      <w:r w:rsidRPr="006F6BAA">
        <w:rPr>
          <w:sz w:val="24"/>
          <w:szCs w:val="24"/>
        </w:rPr>
        <w:t xml:space="preserve"> </w:t>
      </w:r>
      <w:r w:rsidR="004B75B9" w:rsidRPr="006F6BAA">
        <w:rPr>
          <w:b/>
          <w:sz w:val="24"/>
          <w:szCs w:val="24"/>
        </w:rPr>
        <w:t>Wednesday, </w:t>
      </w:r>
      <w:r w:rsidR="008B6097" w:rsidRPr="006F6BAA">
        <w:rPr>
          <w:b/>
          <w:sz w:val="24"/>
          <w:szCs w:val="24"/>
        </w:rPr>
        <w:t>9 August</w:t>
      </w:r>
      <w:r w:rsidR="00745C24" w:rsidRPr="006F6BAA">
        <w:rPr>
          <w:b/>
          <w:sz w:val="24"/>
          <w:szCs w:val="24"/>
        </w:rPr>
        <w:t> 201</w:t>
      </w:r>
      <w:r w:rsidR="00442928" w:rsidRPr="006F6BAA">
        <w:rPr>
          <w:b/>
          <w:sz w:val="24"/>
          <w:szCs w:val="24"/>
        </w:rPr>
        <w:t>7</w:t>
      </w:r>
      <w:r w:rsidRPr="006F6BAA">
        <w:rPr>
          <w:sz w:val="24"/>
          <w:szCs w:val="24"/>
        </w:rPr>
        <w:t>.</w:t>
      </w:r>
    </w:p>
    <w:p w:rsidR="000664FC" w:rsidRPr="006F6BAA" w:rsidRDefault="000664FC" w:rsidP="00527D60">
      <w:pPr>
        <w:jc w:val="both"/>
        <w:rPr>
          <w:sz w:val="24"/>
          <w:szCs w:val="24"/>
        </w:rPr>
      </w:pPr>
    </w:p>
    <w:p w:rsidR="000664FC" w:rsidRPr="006F6BAA" w:rsidRDefault="000664FC" w:rsidP="008B6097">
      <w:pPr>
        <w:jc w:val="both"/>
        <w:rPr>
          <w:sz w:val="24"/>
          <w:szCs w:val="24"/>
        </w:rPr>
      </w:pPr>
      <w:r w:rsidRPr="006F6BAA">
        <w:rPr>
          <w:sz w:val="24"/>
          <w:szCs w:val="24"/>
        </w:rPr>
        <w:t xml:space="preserve">The </w:t>
      </w:r>
      <w:r w:rsidRPr="006F6BAA">
        <w:rPr>
          <w:b/>
          <w:sz w:val="24"/>
          <w:szCs w:val="24"/>
        </w:rPr>
        <w:t xml:space="preserve">maximum </w:t>
      </w:r>
      <w:r w:rsidRPr="006F6BAA">
        <w:rPr>
          <w:sz w:val="24"/>
          <w:szCs w:val="24"/>
        </w:rPr>
        <w:t>EU funding for the proposed actions amounts to 80% of the eligible costs. This percentage may be increased to a maximum of 90%, in exceptional and duly justified cases as set o</w:t>
      </w:r>
      <w:r w:rsidR="00C71C8D" w:rsidRPr="006F6BAA">
        <w:rPr>
          <w:sz w:val="24"/>
          <w:szCs w:val="24"/>
        </w:rPr>
        <w:t xml:space="preserve">ut in section </w:t>
      </w:r>
      <w:r w:rsidR="00B506DD" w:rsidRPr="006F6BAA">
        <w:rPr>
          <w:sz w:val="24"/>
          <w:szCs w:val="24"/>
        </w:rPr>
        <w:t>6.2.4 of the AWP2017</w:t>
      </w:r>
      <w:r w:rsidRPr="006F6BAA">
        <w:rPr>
          <w:sz w:val="24"/>
          <w:szCs w:val="24"/>
        </w:rPr>
        <w:t xml:space="preserve">. The minimum budget of an action shall be EUR </w:t>
      </w:r>
      <w:r w:rsidR="002A301C" w:rsidRPr="006F6BAA">
        <w:rPr>
          <w:sz w:val="24"/>
          <w:szCs w:val="24"/>
        </w:rPr>
        <w:t>4</w:t>
      </w:r>
      <w:r w:rsidR="00C71C8D" w:rsidRPr="006F6BAA">
        <w:rPr>
          <w:sz w:val="24"/>
          <w:szCs w:val="24"/>
        </w:rPr>
        <w:t>0</w:t>
      </w:r>
      <w:r w:rsidR="00C65A8D" w:rsidRPr="006F6BAA">
        <w:rPr>
          <w:sz w:val="24"/>
          <w:szCs w:val="24"/>
        </w:rPr>
        <w:t xml:space="preserve"> </w:t>
      </w:r>
      <w:r w:rsidR="00C71C8D" w:rsidRPr="006F6BAA">
        <w:rPr>
          <w:sz w:val="24"/>
          <w:szCs w:val="24"/>
        </w:rPr>
        <w:t>000</w:t>
      </w:r>
      <w:r w:rsidR="005C089B" w:rsidRPr="006F6BAA">
        <w:rPr>
          <w:sz w:val="24"/>
          <w:szCs w:val="24"/>
        </w:rPr>
        <w:t>.</w:t>
      </w:r>
    </w:p>
    <w:p w:rsidR="008B6097" w:rsidRPr="006F6BAA" w:rsidRDefault="008B6097" w:rsidP="008B6097">
      <w:pPr>
        <w:jc w:val="both"/>
        <w:rPr>
          <w:caps/>
          <w:sz w:val="24"/>
          <w:szCs w:val="24"/>
        </w:rPr>
      </w:pPr>
    </w:p>
    <w:p w:rsidR="00E74186" w:rsidRPr="006F6BAA" w:rsidRDefault="00E74186" w:rsidP="00527D60">
      <w:pPr>
        <w:ind w:right="-142"/>
        <w:rPr>
          <w:caps/>
          <w:sz w:val="24"/>
          <w:szCs w:val="24"/>
        </w:rPr>
      </w:pPr>
    </w:p>
    <w:p w:rsidR="00187844" w:rsidRPr="006F6BAA" w:rsidRDefault="00440B28" w:rsidP="00440B28">
      <w:pPr>
        <w:pStyle w:val="Heading1"/>
        <w:rPr>
          <w:sz w:val="24"/>
          <w:szCs w:val="24"/>
        </w:rPr>
      </w:pPr>
      <w:bookmarkStart w:id="1" w:name="_Toc388867196"/>
      <w:bookmarkStart w:id="2" w:name="_Toc388867331"/>
      <w:bookmarkStart w:id="3" w:name="_Toc388869024"/>
      <w:bookmarkStart w:id="4" w:name="_Toc423015979"/>
      <w:bookmarkStart w:id="5" w:name="_Toc423016098"/>
      <w:bookmarkStart w:id="6" w:name="_Toc446498611"/>
      <w:bookmarkStart w:id="7" w:name="_Toc481491530"/>
      <w:bookmarkStart w:id="8" w:name="_Toc484788365"/>
      <w:r w:rsidRPr="006F6BAA">
        <w:rPr>
          <w:b w:val="0"/>
          <w:bCs w:val="0"/>
          <w:smallCaps w:val="0"/>
          <w:sz w:val="24"/>
          <w:szCs w:val="24"/>
        </w:rPr>
        <w:lastRenderedPageBreak/>
        <w:t>1.</w:t>
      </w:r>
      <w:r w:rsidRPr="006F6BAA">
        <w:rPr>
          <w:sz w:val="24"/>
          <w:szCs w:val="24"/>
        </w:rPr>
        <w:tab/>
      </w:r>
      <w:r w:rsidR="00020A4F" w:rsidRPr="006F6BAA">
        <w:rPr>
          <w:sz w:val="24"/>
          <w:szCs w:val="24"/>
        </w:rPr>
        <w:t xml:space="preserve">Introduction – </w:t>
      </w:r>
      <w:bookmarkEnd w:id="1"/>
      <w:bookmarkEnd w:id="2"/>
      <w:bookmarkEnd w:id="3"/>
      <w:r w:rsidR="00020A4F" w:rsidRPr="006F6BAA">
        <w:rPr>
          <w:sz w:val="24"/>
          <w:szCs w:val="24"/>
        </w:rPr>
        <w:t>OLAF and the HERCULE III Programme</w:t>
      </w:r>
      <w:bookmarkStart w:id="9" w:name="_Toc349032125"/>
      <w:bookmarkStart w:id="10" w:name="_Toc350183584"/>
      <w:bookmarkStart w:id="11" w:name="_Toc350183882"/>
      <w:bookmarkStart w:id="12" w:name="_Toc350347719"/>
      <w:bookmarkStart w:id="13" w:name="_Toc350348062"/>
      <w:bookmarkStart w:id="14" w:name="_Toc350350587"/>
      <w:bookmarkStart w:id="15" w:name="_Toc350352579"/>
      <w:bookmarkStart w:id="16" w:name="_Toc350781036"/>
      <w:bookmarkStart w:id="17" w:name="_Toc350781601"/>
      <w:bookmarkStart w:id="18" w:name="_Toc350789287"/>
      <w:bookmarkStart w:id="19" w:name="_Toc349032126"/>
      <w:bookmarkStart w:id="20" w:name="_Toc350183585"/>
      <w:bookmarkStart w:id="21" w:name="_Toc350183883"/>
      <w:bookmarkStart w:id="22" w:name="_Toc350347720"/>
      <w:bookmarkStart w:id="23" w:name="_Toc350348063"/>
      <w:bookmarkStart w:id="24" w:name="_Toc350350588"/>
      <w:bookmarkStart w:id="25" w:name="_Toc350352580"/>
      <w:bookmarkStart w:id="26" w:name="_Toc350781037"/>
      <w:bookmarkStart w:id="27" w:name="_Toc350781602"/>
      <w:bookmarkStart w:id="28" w:name="_Toc350789288"/>
      <w:bookmarkStart w:id="29" w:name="_Toc349032127"/>
      <w:bookmarkStart w:id="30" w:name="_Toc350183586"/>
      <w:bookmarkStart w:id="31" w:name="_Toc350183884"/>
      <w:bookmarkStart w:id="32" w:name="_Toc350347721"/>
      <w:bookmarkStart w:id="33" w:name="_Toc350348064"/>
      <w:bookmarkStart w:id="34" w:name="_Toc350350589"/>
      <w:bookmarkStart w:id="35" w:name="_Toc350352581"/>
      <w:bookmarkStart w:id="36" w:name="_Toc350781038"/>
      <w:bookmarkStart w:id="37" w:name="_Toc350781603"/>
      <w:bookmarkStart w:id="38" w:name="_Toc350789289"/>
      <w:bookmarkEnd w:id="4"/>
      <w:bookmarkEnd w:id="5"/>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8"/>
    </w:p>
    <w:p w:rsidR="00845774" w:rsidRPr="006F6BAA" w:rsidRDefault="0045660F" w:rsidP="00DA7CA1">
      <w:pPr>
        <w:pStyle w:val="Heading2"/>
        <w:numPr>
          <w:ilvl w:val="1"/>
          <w:numId w:val="6"/>
        </w:numPr>
        <w:rPr>
          <w:sz w:val="24"/>
          <w:szCs w:val="24"/>
        </w:rPr>
      </w:pPr>
      <w:bookmarkStart w:id="39" w:name="_Toc349032129"/>
      <w:bookmarkStart w:id="40" w:name="_Toc350183588"/>
      <w:bookmarkStart w:id="41" w:name="_Toc350183886"/>
      <w:bookmarkStart w:id="42" w:name="_Toc350347723"/>
      <w:bookmarkStart w:id="43" w:name="_Toc350348066"/>
      <w:bookmarkStart w:id="44" w:name="_Toc350350591"/>
      <w:bookmarkStart w:id="45" w:name="_Toc350352583"/>
      <w:bookmarkStart w:id="46" w:name="_Toc350781040"/>
      <w:bookmarkStart w:id="47" w:name="_Toc350781605"/>
      <w:bookmarkStart w:id="48" w:name="_Toc350789291"/>
      <w:bookmarkStart w:id="49" w:name="_Toc388619356"/>
      <w:bookmarkStart w:id="50" w:name="_Toc484788366"/>
      <w:bookmarkEnd w:id="39"/>
      <w:bookmarkEnd w:id="40"/>
      <w:bookmarkEnd w:id="41"/>
      <w:bookmarkEnd w:id="42"/>
      <w:bookmarkEnd w:id="43"/>
      <w:bookmarkEnd w:id="44"/>
      <w:bookmarkEnd w:id="45"/>
      <w:bookmarkEnd w:id="46"/>
      <w:bookmarkEnd w:id="47"/>
      <w:bookmarkEnd w:id="48"/>
      <w:r w:rsidRPr="006F6BAA">
        <w:rPr>
          <w:sz w:val="24"/>
          <w:szCs w:val="24"/>
        </w:rPr>
        <w:t>European Anti-Fraud Office (OLAF)</w:t>
      </w:r>
      <w:bookmarkEnd w:id="49"/>
      <w:bookmarkEnd w:id="50"/>
    </w:p>
    <w:p w:rsidR="006D1D17" w:rsidRPr="006F6BAA" w:rsidRDefault="006D1D17" w:rsidP="00D311FA">
      <w:pPr>
        <w:pStyle w:val="Default"/>
        <w:jc w:val="both"/>
        <w:rPr>
          <w:color w:val="auto"/>
          <w:lang w:eastAsia="en-GB"/>
        </w:rPr>
      </w:pPr>
      <w:r w:rsidRPr="006F6BAA">
        <w:rPr>
          <w:color w:val="auto"/>
          <w:lang w:eastAsia="en-GB"/>
        </w:rPr>
        <w:t>The European Anti-Fraud Office (OLAF) was established by Commission Decision of 28</w:t>
      </w:r>
      <w:r w:rsidR="00C65A8D" w:rsidRPr="006F6BAA">
        <w:rPr>
          <w:color w:val="auto"/>
          <w:lang w:eastAsia="en-GB"/>
        </w:rPr>
        <w:t> </w:t>
      </w:r>
      <w:r w:rsidRPr="006F6BAA">
        <w:rPr>
          <w:color w:val="auto"/>
          <w:lang w:eastAsia="en-GB"/>
        </w:rPr>
        <w:t>April 1999</w:t>
      </w:r>
      <w:r w:rsidRPr="006F6BAA">
        <w:rPr>
          <w:color w:val="auto"/>
          <w:vertAlign w:val="superscript"/>
          <w:lang w:eastAsia="en-GB"/>
        </w:rPr>
        <w:footnoteReference w:id="7"/>
      </w:r>
      <w:r w:rsidRPr="006F6BAA">
        <w:rPr>
          <w:color w:val="auto"/>
          <w:lang w:eastAsia="en-GB"/>
        </w:rPr>
        <w:t xml:space="preserve">. OLAF is operationally independent but is nevertheless part of the European Commission and </w:t>
      </w:r>
      <w:r w:rsidR="00F93533" w:rsidRPr="006F6BAA">
        <w:rPr>
          <w:color w:val="auto"/>
          <w:lang w:eastAsia="en-GB"/>
        </w:rPr>
        <w:t xml:space="preserve">is, as such, </w:t>
      </w:r>
      <w:r w:rsidRPr="006F6BAA">
        <w:rPr>
          <w:color w:val="auto"/>
          <w:lang w:eastAsia="en-GB"/>
        </w:rPr>
        <w:t>bound by the administrative and legal provisions of the EU institutions. The mission of the European Anti-Fraud Office is to detect, investigate and stop fraud with EU fun</w:t>
      </w:r>
      <w:r w:rsidR="00D311FA" w:rsidRPr="006F6BAA">
        <w:rPr>
          <w:color w:val="auto"/>
          <w:lang w:eastAsia="en-GB"/>
        </w:rPr>
        <w:t>ds. OLAF fulfils its mission by:</w:t>
      </w:r>
    </w:p>
    <w:p w:rsidR="008B6097" w:rsidRPr="006F6BAA" w:rsidRDefault="008B6097" w:rsidP="00D311FA">
      <w:pPr>
        <w:pStyle w:val="Default"/>
        <w:jc w:val="both"/>
        <w:rPr>
          <w:color w:val="auto"/>
          <w:lang w:eastAsia="en-GB"/>
        </w:rPr>
      </w:pPr>
    </w:p>
    <w:p w:rsidR="009572BD" w:rsidRPr="006F6BAA" w:rsidRDefault="00306EA6" w:rsidP="00DA7CA1">
      <w:pPr>
        <w:pStyle w:val="ListParagraph"/>
        <w:numPr>
          <w:ilvl w:val="0"/>
          <w:numId w:val="16"/>
        </w:numPr>
        <w:autoSpaceDE w:val="0"/>
        <w:autoSpaceDN w:val="0"/>
        <w:adjustRightInd w:val="0"/>
        <w:contextualSpacing w:val="0"/>
        <w:jc w:val="both"/>
        <w:rPr>
          <w:sz w:val="24"/>
          <w:szCs w:val="24"/>
          <w:lang w:val="en"/>
        </w:rPr>
      </w:pPr>
      <w:r w:rsidRPr="006F6BAA">
        <w:rPr>
          <w:sz w:val="24"/>
          <w:szCs w:val="24"/>
          <w:lang w:val="en"/>
        </w:rPr>
        <w:t>carrying out independent investigations into fraud and corruption involving EU funds so as to ensure that all EU taxpayers’ money reaches projects that can</w:t>
      </w:r>
      <w:r w:rsidR="006D0CA1" w:rsidRPr="006F6BAA">
        <w:rPr>
          <w:sz w:val="24"/>
          <w:szCs w:val="24"/>
          <w:lang w:val="en"/>
        </w:rPr>
        <w:t xml:space="preserve"> </w:t>
      </w:r>
      <w:r w:rsidRPr="006F6BAA">
        <w:rPr>
          <w:sz w:val="24"/>
          <w:szCs w:val="24"/>
          <w:lang w:val="en"/>
        </w:rPr>
        <w:t>stimulate the creation of jobs and growth in Europe;</w:t>
      </w:r>
    </w:p>
    <w:p w:rsidR="009572BD" w:rsidRPr="006F6BAA" w:rsidRDefault="00306EA6" w:rsidP="00DA7CA1">
      <w:pPr>
        <w:pStyle w:val="ListParagraph"/>
        <w:numPr>
          <w:ilvl w:val="0"/>
          <w:numId w:val="16"/>
        </w:numPr>
        <w:autoSpaceDE w:val="0"/>
        <w:autoSpaceDN w:val="0"/>
        <w:adjustRightInd w:val="0"/>
        <w:contextualSpacing w:val="0"/>
        <w:jc w:val="both"/>
        <w:rPr>
          <w:sz w:val="24"/>
          <w:szCs w:val="24"/>
          <w:lang w:val="en"/>
        </w:rPr>
      </w:pPr>
      <w:r w:rsidRPr="006F6BAA">
        <w:rPr>
          <w:sz w:val="24"/>
          <w:szCs w:val="24"/>
          <w:lang w:val="en"/>
        </w:rPr>
        <w:t>contributing to strengthening citizens’ trust in the EU institutions by investigating serious misconduct by EU staff and members of the EU institutions;</w:t>
      </w:r>
    </w:p>
    <w:p w:rsidR="00306EA6" w:rsidRPr="006F6BAA" w:rsidRDefault="00306EA6" w:rsidP="00DA7CA1">
      <w:pPr>
        <w:pStyle w:val="ListParagraph"/>
        <w:numPr>
          <w:ilvl w:val="0"/>
          <w:numId w:val="16"/>
        </w:numPr>
        <w:autoSpaceDE w:val="0"/>
        <w:autoSpaceDN w:val="0"/>
        <w:adjustRightInd w:val="0"/>
        <w:contextualSpacing w:val="0"/>
        <w:jc w:val="both"/>
        <w:rPr>
          <w:sz w:val="24"/>
          <w:szCs w:val="24"/>
          <w:lang w:val="en"/>
        </w:rPr>
      </w:pPr>
      <w:proofErr w:type="gramStart"/>
      <w:r w:rsidRPr="006F6BAA">
        <w:rPr>
          <w:sz w:val="24"/>
          <w:szCs w:val="24"/>
          <w:lang w:val="en"/>
        </w:rPr>
        <w:t>developing</w:t>
      </w:r>
      <w:proofErr w:type="gramEnd"/>
      <w:r w:rsidRPr="006F6BAA">
        <w:rPr>
          <w:sz w:val="24"/>
          <w:szCs w:val="24"/>
          <w:lang w:val="en"/>
        </w:rPr>
        <w:t xml:space="preserve"> a sound EU anti-fraud policy.</w:t>
      </w:r>
    </w:p>
    <w:p w:rsidR="00306EA6" w:rsidRPr="006F6BAA" w:rsidRDefault="00306EA6" w:rsidP="009C7533">
      <w:pPr>
        <w:autoSpaceDE w:val="0"/>
        <w:autoSpaceDN w:val="0"/>
        <w:adjustRightInd w:val="0"/>
        <w:jc w:val="both"/>
        <w:rPr>
          <w:sz w:val="24"/>
          <w:szCs w:val="24"/>
        </w:rPr>
      </w:pPr>
    </w:p>
    <w:p w:rsidR="00324F19" w:rsidRPr="006F6BAA" w:rsidRDefault="00324F19" w:rsidP="00324F19">
      <w:pPr>
        <w:pStyle w:val="Default"/>
        <w:jc w:val="both"/>
        <w:rPr>
          <w:color w:val="auto"/>
          <w:lang w:eastAsia="en-GB"/>
        </w:rPr>
      </w:pPr>
      <w:r w:rsidRPr="006F6BAA">
        <w:rPr>
          <w:color w:val="auto"/>
          <w:lang w:eastAsia="en-GB"/>
        </w:rPr>
        <w:t>By performing its mission as effectively as possible, OLAF contributes to the efforts made by the EU institutions to guarantee that the best use is made of taxpayers’ money.</w:t>
      </w:r>
    </w:p>
    <w:p w:rsidR="00845774" w:rsidRPr="006F6BAA" w:rsidRDefault="00727B34" w:rsidP="00DA7CA1">
      <w:pPr>
        <w:pStyle w:val="Heading2"/>
        <w:numPr>
          <w:ilvl w:val="1"/>
          <w:numId w:val="6"/>
        </w:numPr>
        <w:rPr>
          <w:sz w:val="24"/>
          <w:szCs w:val="24"/>
        </w:rPr>
      </w:pPr>
      <w:bookmarkStart w:id="51" w:name="_Toc388000912"/>
      <w:bookmarkStart w:id="52" w:name="_Toc388001210"/>
      <w:bookmarkStart w:id="53" w:name="_Toc388000913"/>
      <w:bookmarkStart w:id="54" w:name="_Toc388001211"/>
      <w:bookmarkStart w:id="55" w:name="_Toc388000914"/>
      <w:bookmarkStart w:id="56" w:name="_Toc388001212"/>
      <w:bookmarkStart w:id="57" w:name="_Toc388000915"/>
      <w:bookmarkStart w:id="58" w:name="_Toc388001213"/>
      <w:bookmarkStart w:id="59" w:name="_Toc388619357"/>
      <w:bookmarkStart w:id="60" w:name="_Toc247019625"/>
      <w:bookmarkStart w:id="61" w:name="_Toc484788367"/>
      <w:bookmarkEnd w:id="51"/>
      <w:bookmarkEnd w:id="52"/>
      <w:bookmarkEnd w:id="53"/>
      <w:bookmarkEnd w:id="54"/>
      <w:bookmarkEnd w:id="55"/>
      <w:bookmarkEnd w:id="56"/>
      <w:bookmarkEnd w:id="57"/>
      <w:bookmarkEnd w:id="58"/>
      <w:r w:rsidRPr="006F6BAA">
        <w:rPr>
          <w:sz w:val="24"/>
          <w:szCs w:val="24"/>
        </w:rPr>
        <w:t>Hercule II</w:t>
      </w:r>
      <w:r w:rsidR="004D22CE" w:rsidRPr="006F6BAA">
        <w:rPr>
          <w:sz w:val="24"/>
          <w:szCs w:val="24"/>
        </w:rPr>
        <w:t>I</w:t>
      </w:r>
      <w:r w:rsidRPr="006F6BAA">
        <w:rPr>
          <w:sz w:val="24"/>
          <w:szCs w:val="24"/>
        </w:rPr>
        <w:t xml:space="preserve"> </w:t>
      </w:r>
      <w:r w:rsidR="006351B6" w:rsidRPr="006F6BAA">
        <w:rPr>
          <w:sz w:val="24"/>
          <w:szCs w:val="24"/>
        </w:rPr>
        <w:t>P</w:t>
      </w:r>
      <w:r w:rsidRPr="006F6BAA">
        <w:rPr>
          <w:sz w:val="24"/>
          <w:szCs w:val="24"/>
        </w:rPr>
        <w:t>rogramme</w:t>
      </w:r>
      <w:bookmarkEnd w:id="59"/>
      <w:bookmarkEnd w:id="60"/>
      <w:bookmarkEnd w:id="61"/>
    </w:p>
    <w:p w:rsidR="006D0503" w:rsidRPr="006F6BAA" w:rsidRDefault="00292846" w:rsidP="009C7533">
      <w:pPr>
        <w:pStyle w:val="Default"/>
        <w:jc w:val="both"/>
        <w:rPr>
          <w:bCs/>
          <w:color w:val="auto"/>
          <w:lang w:eastAsia="en-GB"/>
        </w:rPr>
      </w:pPr>
      <w:r w:rsidRPr="006F6BAA">
        <w:rPr>
          <w:color w:val="auto"/>
          <w:lang w:eastAsia="en-GB"/>
        </w:rPr>
        <w:t>On 26 February 2014, the European Parliament and the Council</w:t>
      </w:r>
      <w:r w:rsidR="006D0503" w:rsidRPr="006F6BAA">
        <w:rPr>
          <w:color w:val="auto"/>
          <w:lang w:eastAsia="en-GB"/>
        </w:rPr>
        <w:t xml:space="preserve"> of the European Union</w:t>
      </w:r>
      <w:r w:rsidRPr="006F6BAA">
        <w:rPr>
          <w:color w:val="auto"/>
          <w:lang w:eastAsia="en-GB"/>
        </w:rPr>
        <w:t xml:space="preserve"> adopted </w:t>
      </w:r>
      <w:r w:rsidR="00E06945" w:rsidRPr="006F6BAA">
        <w:rPr>
          <w:color w:val="auto"/>
          <w:lang w:eastAsia="en-GB"/>
        </w:rPr>
        <w:t>R</w:t>
      </w:r>
      <w:r w:rsidR="006D0503" w:rsidRPr="006F6BAA">
        <w:rPr>
          <w:color w:val="auto"/>
          <w:lang w:eastAsia="en-GB"/>
        </w:rPr>
        <w:t>egulation</w:t>
      </w:r>
      <w:r w:rsidR="00E06945" w:rsidRPr="006F6BAA">
        <w:rPr>
          <w:color w:val="auto"/>
          <w:lang w:eastAsia="en-GB"/>
        </w:rPr>
        <w:t xml:space="preserve"> (EU) No 250/2014</w:t>
      </w:r>
      <w:r w:rsidR="003610C3" w:rsidRPr="006F6BAA">
        <w:rPr>
          <w:rStyle w:val="FootnoteReference"/>
          <w:color w:val="auto"/>
          <w:lang w:eastAsia="en-GB"/>
        </w:rPr>
        <w:footnoteReference w:id="8"/>
      </w:r>
      <w:r w:rsidR="00E06945" w:rsidRPr="006F6BAA">
        <w:rPr>
          <w:color w:val="auto"/>
          <w:lang w:eastAsia="en-GB"/>
        </w:rPr>
        <w:t xml:space="preserve"> </w:t>
      </w:r>
      <w:r w:rsidR="006D0503" w:rsidRPr="006F6BAA">
        <w:rPr>
          <w:color w:val="auto"/>
          <w:lang w:eastAsia="en-GB"/>
        </w:rPr>
        <w:t xml:space="preserve">establishing </w:t>
      </w:r>
      <w:r w:rsidR="00E06945" w:rsidRPr="006F6BAA">
        <w:rPr>
          <w:color w:val="auto"/>
          <w:lang w:eastAsia="en-GB"/>
        </w:rPr>
        <w:t xml:space="preserve">a programme </w:t>
      </w:r>
      <w:r w:rsidR="006D0503" w:rsidRPr="006F6BAA">
        <w:rPr>
          <w:bCs/>
          <w:color w:val="auto"/>
          <w:lang w:eastAsia="en-GB"/>
        </w:rPr>
        <w:t xml:space="preserve">to </w:t>
      </w:r>
      <w:r w:rsidR="00E06945" w:rsidRPr="006F6BAA">
        <w:rPr>
          <w:rStyle w:val="Strong"/>
          <w:b w:val="0"/>
          <w:color w:val="auto"/>
        </w:rPr>
        <w:t>promote activities in the field of the protection of the financial interests of the European Union (Hercule III Programme</w:t>
      </w:r>
      <w:r w:rsidR="00C6407D" w:rsidRPr="006F6BAA">
        <w:rPr>
          <w:rStyle w:val="Strong"/>
          <w:b w:val="0"/>
          <w:color w:val="auto"/>
        </w:rPr>
        <w:t>, hereinafter referred to as "the Programme"</w:t>
      </w:r>
      <w:r w:rsidR="00E06945" w:rsidRPr="006F6BAA">
        <w:rPr>
          <w:rStyle w:val="Strong"/>
          <w:b w:val="0"/>
          <w:color w:val="auto"/>
        </w:rPr>
        <w:t>)</w:t>
      </w:r>
      <w:r w:rsidR="002256CF" w:rsidRPr="006F6BAA">
        <w:rPr>
          <w:rStyle w:val="Strong"/>
          <w:b w:val="0"/>
          <w:color w:val="auto"/>
        </w:rPr>
        <w:t xml:space="preserve">. </w:t>
      </w:r>
      <w:r w:rsidR="00B269CD" w:rsidRPr="006F6BAA">
        <w:rPr>
          <w:bCs/>
          <w:color w:val="auto"/>
          <w:lang w:eastAsia="en-GB"/>
        </w:rPr>
        <w:t>The P</w:t>
      </w:r>
      <w:r w:rsidR="006D0503" w:rsidRPr="006F6BAA">
        <w:rPr>
          <w:bCs/>
          <w:color w:val="auto"/>
          <w:lang w:eastAsia="en-GB"/>
        </w:rPr>
        <w:t>rogramme entered into force on 21 March 2014.</w:t>
      </w:r>
    </w:p>
    <w:p w:rsidR="003610C3" w:rsidRPr="006F6BAA" w:rsidRDefault="003610C3" w:rsidP="009C7533">
      <w:pPr>
        <w:pStyle w:val="Default"/>
        <w:jc w:val="both"/>
        <w:rPr>
          <w:color w:val="auto"/>
          <w:lang w:eastAsia="en-GB"/>
        </w:rPr>
      </w:pPr>
    </w:p>
    <w:p w:rsidR="006F6BAA" w:rsidRPr="006F6BAA" w:rsidRDefault="00A23A3B" w:rsidP="00A23A3B">
      <w:pPr>
        <w:pStyle w:val="Default"/>
        <w:jc w:val="both"/>
        <w:rPr>
          <w:color w:val="auto"/>
          <w:lang w:eastAsia="en-GB"/>
        </w:rPr>
      </w:pPr>
      <w:r w:rsidRPr="006F6BAA">
        <w:rPr>
          <w:color w:val="auto"/>
          <w:lang w:eastAsia="en-GB"/>
        </w:rPr>
        <w:t>The general objective</w:t>
      </w:r>
      <w:r w:rsidRPr="006F6BAA">
        <w:rPr>
          <w:rStyle w:val="FootnoteReference"/>
          <w:color w:val="auto"/>
          <w:lang w:eastAsia="en-GB"/>
        </w:rPr>
        <w:footnoteReference w:id="9"/>
      </w:r>
      <w:r w:rsidRPr="006F6BAA">
        <w:rPr>
          <w:color w:val="auto"/>
          <w:lang w:eastAsia="en-GB"/>
        </w:rPr>
        <w:t xml:space="preserve"> of the Programme “</w:t>
      </w:r>
      <w:r w:rsidRPr="006F6BAA">
        <w:rPr>
          <w:i/>
          <w:color w:val="auto"/>
          <w:lang w:eastAsia="en-GB"/>
        </w:rPr>
        <w:t xml:space="preserve">shall be to protect the financial interests of the Union thus enhancing the competitiveness of the Union’s economy and ensuring the protection of the taxpayers’ </w:t>
      </w:r>
      <w:r w:rsidR="00F52C8A" w:rsidRPr="006F6BAA">
        <w:rPr>
          <w:i/>
          <w:color w:val="auto"/>
          <w:lang w:eastAsia="en-GB"/>
        </w:rPr>
        <w:t>money</w:t>
      </w:r>
      <w:r w:rsidR="00F52C8A" w:rsidRPr="006F6BAA">
        <w:rPr>
          <w:color w:val="auto"/>
          <w:lang w:eastAsia="en-GB"/>
        </w:rPr>
        <w:t>”. The specific objective</w:t>
      </w:r>
      <w:r w:rsidR="00F52C8A" w:rsidRPr="006F6BAA">
        <w:rPr>
          <w:rStyle w:val="FootnoteReference"/>
          <w:color w:val="auto"/>
          <w:lang w:eastAsia="en-GB"/>
        </w:rPr>
        <w:footnoteReference w:id="10"/>
      </w:r>
      <w:r w:rsidR="00F52C8A" w:rsidRPr="006F6BAA">
        <w:rPr>
          <w:color w:val="auto"/>
          <w:lang w:eastAsia="en-GB"/>
        </w:rPr>
        <w:t xml:space="preserve"> </w:t>
      </w:r>
      <w:r w:rsidRPr="006F6BAA">
        <w:rPr>
          <w:color w:val="auto"/>
          <w:lang w:eastAsia="en-GB"/>
        </w:rPr>
        <w:t>shall be to prevent and combat fraud, corruption and any other illegal activities affecting the financial interests of the Union. The Programme is implemented by the European Anti-Fraud Off</w:t>
      </w:r>
      <w:r w:rsidR="006F6BAA" w:rsidRPr="006F6BAA">
        <w:rPr>
          <w:color w:val="auto"/>
          <w:lang w:eastAsia="en-GB"/>
        </w:rPr>
        <w:t>ice of the European Commission.</w:t>
      </w:r>
    </w:p>
    <w:p w:rsidR="006F6BAA" w:rsidRPr="006F6BAA" w:rsidRDefault="006F6BAA">
      <w:pPr>
        <w:rPr>
          <w:sz w:val="24"/>
          <w:szCs w:val="24"/>
        </w:rPr>
      </w:pPr>
      <w:r w:rsidRPr="006F6BAA">
        <w:rPr>
          <w:sz w:val="24"/>
          <w:szCs w:val="24"/>
        </w:rPr>
        <w:br w:type="page"/>
      </w:r>
    </w:p>
    <w:p w:rsidR="00A23A3B" w:rsidRPr="006F6BAA" w:rsidRDefault="00F52C8A" w:rsidP="00A23A3B">
      <w:pPr>
        <w:pStyle w:val="Default"/>
        <w:jc w:val="both"/>
        <w:rPr>
          <w:color w:val="auto"/>
          <w:lang w:eastAsia="en-GB"/>
        </w:rPr>
      </w:pPr>
      <w:r w:rsidRPr="006F6BAA">
        <w:rPr>
          <w:color w:val="auto"/>
          <w:lang w:eastAsia="en-GB"/>
        </w:rPr>
        <w:lastRenderedPageBreak/>
        <w:t>The operational objectives</w:t>
      </w:r>
      <w:r w:rsidR="00D15306" w:rsidRPr="006F6BAA">
        <w:rPr>
          <w:rStyle w:val="FootnoteReference"/>
          <w:color w:val="auto"/>
          <w:lang w:eastAsia="en-GB"/>
        </w:rPr>
        <w:footnoteReference w:id="11"/>
      </w:r>
      <w:r w:rsidRPr="006F6BAA">
        <w:rPr>
          <w:color w:val="auto"/>
          <w:lang w:eastAsia="en-GB"/>
        </w:rPr>
        <w:t xml:space="preserve"> </w:t>
      </w:r>
      <w:r w:rsidR="00A23A3B" w:rsidRPr="006F6BAA">
        <w:rPr>
          <w:color w:val="auto"/>
          <w:lang w:eastAsia="en-GB"/>
        </w:rPr>
        <w:t>of the Programme are listed below:</w:t>
      </w:r>
    </w:p>
    <w:p w:rsidR="00A23A3B" w:rsidRPr="006F6BAA" w:rsidRDefault="00A23A3B" w:rsidP="00A23A3B">
      <w:pPr>
        <w:pStyle w:val="Default"/>
        <w:jc w:val="both"/>
        <w:rPr>
          <w:color w:val="auto"/>
          <w:lang w:eastAsia="en-GB"/>
        </w:rPr>
      </w:pPr>
    </w:p>
    <w:p w:rsidR="00A23A3B" w:rsidRPr="006F6BAA" w:rsidRDefault="00A23A3B" w:rsidP="00DA7CA1">
      <w:pPr>
        <w:pStyle w:val="Default"/>
        <w:numPr>
          <w:ilvl w:val="0"/>
          <w:numId w:val="19"/>
        </w:numPr>
        <w:jc w:val="both"/>
        <w:rPr>
          <w:color w:val="auto"/>
          <w:lang w:eastAsia="en-GB"/>
        </w:rPr>
      </w:pPr>
      <w:r w:rsidRPr="006F6BAA">
        <w:rPr>
          <w:color w:val="auto"/>
          <w:lang w:eastAsia="en-GB"/>
        </w:rPr>
        <w:t>to improve the prevention and investigation of fraud and other illegal activities beyond current levels by enhancing transnational and multi-disciplinary cooperation;</w:t>
      </w:r>
    </w:p>
    <w:p w:rsidR="00A23A3B" w:rsidRPr="006F6BAA" w:rsidRDefault="00A23A3B" w:rsidP="00DA7CA1">
      <w:pPr>
        <w:pStyle w:val="Default"/>
        <w:numPr>
          <w:ilvl w:val="0"/>
          <w:numId w:val="19"/>
        </w:numPr>
        <w:jc w:val="both"/>
        <w:rPr>
          <w:color w:val="auto"/>
          <w:lang w:eastAsia="en-GB"/>
        </w:rPr>
      </w:pPr>
      <w:r w:rsidRPr="006F6BAA">
        <w:rPr>
          <w:color w:val="auto"/>
          <w:lang w:eastAsia="en-GB"/>
        </w:rPr>
        <w:t>to increase the protection of the financial interests of the Union against fraud, facilitating the exchange of information, experiences and best practices, including staff exchanges;</w:t>
      </w:r>
    </w:p>
    <w:p w:rsidR="00A23A3B" w:rsidRPr="006F6BAA" w:rsidRDefault="00A23A3B" w:rsidP="00DA7CA1">
      <w:pPr>
        <w:pStyle w:val="Default"/>
        <w:numPr>
          <w:ilvl w:val="0"/>
          <w:numId w:val="19"/>
        </w:numPr>
        <w:jc w:val="both"/>
        <w:rPr>
          <w:color w:val="auto"/>
          <w:lang w:eastAsia="en-GB"/>
        </w:rPr>
      </w:pPr>
      <w:r w:rsidRPr="006F6BAA">
        <w:rPr>
          <w:color w:val="auto"/>
          <w:lang w:eastAsia="en-GB"/>
        </w:rPr>
        <w:t>to strengthen the fight against fraud and other illegal activities providing technical and operational support to national investigation, and in particular customs and law enforcement, authorities;</w:t>
      </w:r>
    </w:p>
    <w:p w:rsidR="00A23A3B" w:rsidRPr="006F6BAA" w:rsidRDefault="00A23A3B" w:rsidP="00DA7CA1">
      <w:pPr>
        <w:pStyle w:val="Default"/>
        <w:numPr>
          <w:ilvl w:val="0"/>
          <w:numId w:val="19"/>
        </w:numPr>
        <w:jc w:val="both"/>
        <w:rPr>
          <w:color w:val="auto"/>
          <w:lang w:eastAsia="en-GB"/>
        </w:rPr>
      </w:pPr>
      <w:r w:rsidRPr="006F6BAA">
        <w:rPr>
          <w:color w:val="auto"/>
          <w:lang w:eastAsia="en-GB"/>
        </w:rPr>
        <w:t xml:space="preserve">to limit the currently known exposure of the financial interests of the Union to fraud, corruption and other illegal activities with a view to reducing the development of an illegal economy in key risk areas such as organised fraud, including cigarette smuggling and counterfeiting; </w:t>
      </w:r>
    </w:p>
    <w:p w:rsidR="00A23A3B" w:rsidRPr="006F6BAA" w:rsidRDefault="00A23A3B" w:rsidP="00DA7CA1">
      <w:pPr>
        <w:pStyle w:val="Default"/>
        <w:numPr>
          <w:ilvl w:val="0"/>
          <w:numId w:val="19"/>
        </w:numPr>
        <w:jc w:val="both"/>
        <w:rPr>
          <w:color w:val="auto"/>
          <w:lang w:eastAsia="en-GB"/>
        </w:rPr>
      </w:pPr>
      <w:proofErr w:type="gramStart"/>
      <w:r w:rsidRPr="006F6BAA">
        <w:rPr>
          <w:color w:val="auto"/>
          <w:lang w:eastAsia="en-GB"/>
        </w:rPr>
        <w:t>to</w:t>
      </w:r>
      <w:proofErr w:type="gramEnd"/>
      <w:r w:rsidRPr="006F6BAA">
        <w:rPr>
          <w:color w:val="auto"/>
          <w:lang w:eastAsia="en-GB"/>
        </w:rPr>
        <w:t xml:space="preserve"> enhance the degree of development of the specific legal and judicial protection of the financial interests of the Union against fraud by promoting comparative law analysis.</w:t>
      </w:r>
    </w:p>
    <w:p w:rsidR="00A23A3B" w:rsidRPr="006F6BAA" w:rsidRDefault="00A23A3B" w:rsidP="00A23A3B">
      <w:pPr>
        <w:pStyle w:val="Default"/>
        <w:jc w:val="both"/>
        <w:rPr>
          <w:color w:val="auto"/>
          <w:lang w:eastAsia="en-GB"/>
        </w:rPr>
      </w:pPr>
    </w:p>
    <w:p w:rsidR="00A23A3B" w:rsidRPr="006F6BAA" w:rsidRDefault="00A23A3B" w:rsidP="00A23A3B">
      <w:pPr>
        <w:pStyle w:val="Default"/>
        <w:jc w:val="both"/>
        <w:rPr>
          <w:color w:val="auto"/>
          <w:lang w:eastAsia="en-GB"/>
        </w:rPr>
      </w:pPr>
      <w:r w:rsidRPr="006F6BAA">
        <w:rPr>
          <w:color w:val="auto"/>
          <w:lang w:eastAsia="en-GB"/>
        </w:rPr>
        <w:t>Article 11 of Regulation 250/2014 requires the Commission to adopt annual work programmes for the implementation of the Programme. The annual work programme</w:t>
      </w:r>
      <w:r w:rsidR="00C65A8D" w:rsidRPr="006F6BAA">
        <w:rPr>
          <w:color w:val="auto"/>
          <w:lang w:eastAsia="en-GB"/>
        </w:rPr>
        <w:t> </w:t>
      </w:r>
      <w:r w:rsidR="00EF55DB" w:rsidRPr="006F6BAA">
        <w:rPr>
          <w:color w:val="auto"/>
          <w:lang w:eastAsia="en-GB"/>
        </w:rPr>
        <w:t>2017</w:t>
      </w:r>
      <w:r w:rsidRPr="006F6BAA">
        <w:rPr>
          <w:color w:val="auto"/>
          <w:lang w:eastAsia="en-GB"/>
        </w:rPr>
        <w:t xml:space="preserve"> (AWP</w:t>
      </w:r>
      <w:r w:rsidR="00EF55DB" w:rsidRPr="006F6BAA">
        <w:rPr>
          <w:color w:val="auto"/>
          <w:lang w:eastAsia="en-GB"/>
        </w:rPr>
        <w:t>2017</w:t>
      </w:r>
      <w:r w:rsidRPr="006F6BAA">
        <w:rPr>
          <w:color w:val="auto"/>
          <w:lang w:eastAsia="en-GB"/>
        </w:rPr>
        <w:t>) was adopted by a Comm</w:t>
      </w:r>
      <w:r w:rsidR="0008287A" w:rsidRPr="006F6BAA">
        <w:rPr>
          <w:color w:val="auto"/>
          <w:lang w:eastAsia="en-GB"/>
        </w:rPr>
        <w:t xml:space="preserve">ission Decision on </w:t>
      </w:r>
      <w:r w:rsidR="00EF55DB" w:rsidRPr="006F6BAA">
        <w:rPr>
          <w:color w:val="auto"/>
          <w:lang w:eastAsia="en-GB"/>
        </w:rPr>
        <w:t>22</w:t>
      </w:r>
      <w:r w:rsidR="00F5093A" w:rsidRPr="006F6BAA">
        <w:rPr>
          <w:color w:val="auto"/>
          <w:lang w:eastAsia="en-GB"/>
        </w:rPr>
        <w:t> February</w:t>
      </w:r>
      <w:r w:rsidR="00C65A8D" w:rsidRPr="006F6BAA">
        <w:rPr>
          <w:color w:val="auto"/>
          <w:lang w:eastAsia="en-GB"/>
        </w:rPr>
        <w:t> </w:t>
      </w:r>
      <w:r w:rsidR="00745C24" w:rsidRPr="006F6BAA">
        <w:rPr>
          <w:color w:val="auto"/>
          <w:lang w:eastAsia="en-GB"/>
        </w:rPr>
        <w:t>201</w:t>
      </w:r>
      <w:bookmarkStart w:id="62" w:name="_Ref447095691"/>
      <w:r w:rsidR="00EF55DB" w:rsidRPr="006F6BAA">
        <w:rPr>
          <w:color w:val="auto"/>
          <w:lang w:eastAsia="en-GB"/>
        </w:rPr>
        <w:t>7</w:t>
      </w:r>
      <w:r w:rsidR="0008287A" w:rsidRPr="006F6BAA">
        <w:rPr>
          <w:rStyle w:val="FootnoteReference"/>
          <w:color w:val="auto"/>
          <w:lang w:eastAsia="en-GB"/>
        </w:rPr>
        <w:footnoteReference w:id="12"/>
      </w:r>
      <w:bookmarkEnd w:id="62"/>
      <w:r w:rsidRPr="006F6BAA">
        <w:rPr>
          <w:color w:val="auto"/>
          <w:lang w:eastAsia="en-GB"/>
        </w:rPr>
        <w:t>. The Programme is implemented in accordance with the Financial Regulation (FR)</w:t>
      </w:r>
      <w:bookmarkStart w:id="63" w:name="_Ref421695224"/>
      <w:r w:rsidR="0008287A" w:rsidRPr="006F6BAA">
        <w:rPr>
          <w:rStyle w:val="FootnoteReference"/>
          <w:color w:val="auto"/>
          <w:lang w:eastAsia="en-GB"/>
        </w:rPr>
        <w:footnoteReference w:id="13"/>
      </w:r>
      <w:bookmarkEnd w:id="63"/>
      <w:r w:rsidRPr="006F6BAA">
        <w:rPr>
          <w:color w:val="auto"/>
          <w:lang w:eastAsia="en-GB"/>
        </w:rPr>
        <w:t xml:space="preserve">  and</w:t>
      </w:r>
      <w:r w:rsidR="0008287A" w:rsidRPr="006F6BAA">
        <w:rPr>
          <w:color w:val="auto"/>
          <w:lang w:eastAsia="en-GB"/>
        </w:rPr>
        <w:t xml:space="preserve"> its Rules of Application (RAP)</w:t>
      </w:r>
      <w:bookmarkStart w:id="64" w:name="_Ref421695277"/>
      <w:r w:rsidR="0008287A" w:rsidRPr="006F6BAA">
        <w:rPr>
          <w:rStyle w:val="FootnoteReference"/>
          <w:color w:val="auto"/>
          <w:lang w:eastAsia="en-GB"/>
        </w:rPr>
        <w:footnoteReference w:id="14"/>
      </w:r>
      <w:bookmarkEnd w:id="64"/>
      <w:r w:rsidRPr="006F6BAA">
        <w:rPr>
          <w:color w:val="auto"/>
          <w:lang w:eastAsia="en-GB"/>
        </w:rPr>
        <w:t>.</w:t>
      </w:r>
      <w:r w:rsidRPr="006F6BAA">
        <w:rPr>
          <w:color w:val="auto"/>
          <w:lang w:eastAsia="en-GB"/>
        </w:rPr>
        <w:tab/>
      </w:r>
    </w:p>
    <w:p w:rsidR="00370B78" w:rsidRPr="006F6BAA" w:rsidRDefault="00370B78" w:rsidP="00A23A3B">
      <w:pPr>
        <w:pStyle w:val="Default"/>
        <w:jc w:val="both"/>
        <w:rPr>
          <w:color w:val="auto"/>
          <w:lang w:eastAsia="en-GB"/>
        </w:rPr>
      </w:pPr>
    </w:p>
    <w:p w:rsidR="00D053FA" w:rsidRPr="006F6BAA" w:rsidRDefault="00D053FA" w:rsidP="009C7533">
      <w:pPr>
        <w:jc w:val="both"/>
        <w:rPr>
          <w:sz w:val="24"/>
          <w:szCs w:val="24"/>
        </w:rPr>
      </w:pPr>
      <w:bookmarkStart w:id="65" w:name="_Toc388000917"/>
      <w:bookmarkStart w:id="66" w:name="_Toc388001215"/>
      <w:bookmarkStart w:id="67" w:name="_Toc388000918"/>
      <w:bookmarkStart w:id="68" w:name="_Toc388001216"/>
      <w:bookmarkEnd w:id="65"/>
      <w:bookmarkEnd w:id="66"/>
      <w:bookmarkEnd w:id="67"/>
      <w:bookmarkEnd w:id="68"/>
    </w:p>
    <w:p w:rsidR="00DA0516" w:rsidRPr="006F6BAA" w:rsidRDefault="001D0B7E" w:rsidP="00DA7CA1">
      <w:pPr>
        <w:pStyle w:val="Heading1"/>
        <w:numPr>
          <w:ilvl w:val="0"/>
          <w:numId w:val="6"/>
        </w:numPr>
        <w:rPr>
          <w:sz w:val="24"/>
          <w:szCs w:val="24"/>
        </w:rPr>
      </w:pPr>
      <w:bookmarkStart w:id="69" w:name="_Toc388430591"/>
      <w:bookmarkStart w:id="70" w:name="_Toc388430991"/>
      <w:bookmarkStart w:id="71" w:name="_Toc388620805"/>
      <w:bookmarkStart w:id="72" w:name="_Toc388862566"/>
      <w:bookmarkStart w:id="73" w:name="_Toc388867201"/>
      <w:bookmarkStart w:id="74" w:name="_Toc388867336"/>
      <w:bookmarkStart w:id="75" w:name="_Toc388869030"/>
      <w:bookmarkStart w:id="76" w:name="_Toc423015982"/>
      <w:bookmarkStart w:id="77" w:name="_Toc423016101"/>
      <w:bookmarkStart w:id="78" w:name="_Toc446498614"/>
      <w:bookmarkStart w:id="79" w:name="_Toc481491533"/>
      <w:bookmarkStart w:id="80" w:name="_Toc484788368"/>
      <w:r w:rsidRPr="006F6BAA">
        <w:rPr>
          <w:sz w:val="24"/>
          <w:szCs w:val="24"/>
        </w:rPr>
        <w:t>S</w:t>
      </w:r>
      <w:bookmarkEnd w:id="69"/>
      <w:bookmarkEnd w:id="70"/>
      <w:bookmarkEnd w:id="71"/>
      <w:bookmarkEnd w:id="72"/>
      <w:bookmarkEnd w:id="73"/>
      <w:bookmarkEnd w:id="74"/>
      <w:bookmarkEnd w:id="75"/>
      <w:r w:rsidRPr="006F6BAA">
        <w:rPr>
          <w:sz w:val="24"/>
          <w:szCs w:val="24"/>
        </w:rPr>
        <w:t>ubject of this call for proposals</w:t>
      </w:r>
      <w:bookmarkEnd w:id="76"/>
      <w:bookmarkEnd w:id="77"/>
      <w:bookmarkEnd w:id="78"/>
      <w:bookmarkEnd w:id="79"/>
      <w:bookmarkEnd w:id="80"/>
    </w:p>
    <w:p w:rsidR="00550A6E" w:rsidRPr="006F6BAA" w:rsidRDefault="00550A6E" w:rsidP="00EA35D2">
      <w:pPr>
        <w:pStyle w:val="Heading2"/>
        <w:rPr>
          <w:sz w:val="24"/>
          <w:szCs w:val="24"/>
        </w:rPr>
      </w:pPr>
      <w:bookmarkStart w:id="81" w:name="_Toc388869031"/>
      <w:bookmarkStart w:id="82" w:name="_Toc423015983"/>
      <w:bookmarkStart w:id="83" w:name="_Toc423016102"/>
      <w:bookmarkStart w:id="84" w:name="_Toc446498615"/>
      <w:bookmarkStart w:id="85" w:name="_Toc481491534"/>
      <w:bookmarkStart w:id="86" w:name="_Toc484788369"/>
      <w:r w:rsidRPr="006F6BAA">
        <w:rPr>
          <w:sz w:val="24"/>
          <w:szCs w:val="24"/>
        </w:rPr>
        <w:t>2.1</w:t>
      </w:r>
      <w:r w:rsidRPr="006F6BAA">
        <w:rPr>
          <w:sz w:val="24"/>
          <w:szCs w:val="24"/>
        </w:rPr>
        <w:tab/>
      </w:r>
      <w:bookmarkEnd w:id="81"/>
      <w:r w:rsidRPr="006F6BAA">
        <w:rPr>
          <w:sz w:val="24"/>
          <w:szCs w:val="24"/>
        </w:rPr>
        <w:t>Actions eligible for funding under the call for proposals</w:t>
      </w:r>
      <w:bookmarkEnd w:id="82"/>
      <w:bookmarkEnd w:id="83"/>
      <w:bookmarkEnd w:id="84"/>
      <w:bookmarkEnd w:id="85"/>
      <w:bookmarkEnd w:id="86"/>
      <w:r w:rsidRPr="006F6BAA">
        <w:rPr>
          <w:sz w:val="24"/>
          <w:szCs w:val="24"/>
        </w:rPr>
        <w:t xml:space="preserve"> </w:t>
      </w:r>
    </w:p>
    <w:p w:rsidR="00487EE6" w:rsidRPr="006F6BAA" w:rsidRDefault="00487EE6" w:rsidP="00487EE6">
      <w:pPr>
        <w:jc w:val="both"/>
        <w:rPr>
          <w:iCs/>
          <w:sz w:val="24"/>
          <w:szCs w:val="24"/>
        </w:rPr>
      </w:pPr>
      <w:r w:rsidRPr="006F6BAA">
        <w:rPr>
          <w:iCs/>
          <w:sz w:val="24"/>
          <w:szCs w:val="24"/>
        </w:rPr>
        <w:t>The Programme finances</w:t>
      </w:r>
      <w:r w:rsidR="00C44A5C" w:rsidRPr="006F6BAA">
        <w:rPr>
          <w:iCs/>
          <w:sz w:val="24"/>
          <w:szCs w:val="24"/>
        </w:rPr>
        <w:t>, among others,</w:t>
      </w:r>
      <w:r w:rsidRPr="006F6BAA">
        <w:rPr>
          <w:iCs/>
          <w:sz w:val="24"/>
          <w:szCs w:val="24"/>
        </w:rPr>
        <w:t xml:space="preserve"> actions which enhance the degree of specific legal and judicial protection of the financial interests of the Union against fraud</w:t>
      </w:r>
      <w:r w:rsidR="00DB0F69" w:rsidRPr="006F6BAA">
        <w:rPr>
          <w:iCs/>
          <w:sz w:val="24"/>
          <w:szCs w:val="24"/>
        </w:rPr>
        <w:t xml:space="preserve">. </w:t>
      </w:r>
      <w:r w:rsidRPr="006F6BAA">
        <w:rPr>
          <w:iCs/>
          <w:sz w:val="24"/>
          <w:szCs w:val="24"/>
        </w:rPr>
        <w:t xml:space="preserve">The grants are awarded to applications under the conditions set out in </w:t>
      </w:r>
      <w:r w:rsidR="005D7735" w:rsidRPr="006F6BAA">
        <w:rPr>
          <w:iCs/>
          <w:sz w:val="24"/>
          <w:szCs w:val="24"/>
        </w:rPr>
        <w:t>this document</w:t>
      </w:r>
      <w:r w:rsidR="00337AFB" w:rsidRPr="006F6BAA">
        <w:rPr>
          <w:iCs/>
          <w:sz w:val="24"/>
          <w:szCs w:val="24"/>
        </w:rPr>
        <w:t>.</w:t>
      </w:r>
      <w:r w:rsidR="003E06E9" w:rsidRPr="006F6BAA">
        <w:rPr>
          <w:iCs/>
          <w:sz w:val="24"/>
          <w:szCs w:val="24"/>
        </w:rPr>
        <w:t xml:space="preserve"> </w:t>
      </w:r>
    </w:p>
    <w:p w:rsidR="00337AFB" w:rsidRPr="006F6BAA" w:rsidRDefault="00337AFB" w:rsidP="00487EE6">
      <w:pPr>
        <w:jc w:val="both"/>
        <w:rPr>
          <w:iCs/>
          <w:sz w:val="24"/>
          <w:szCs w:val="24"/>
        </w:rPr>
      </w:pPr>
    </w:p>
    <w:p w:rsidR="00337AFB" w:rsidRPr="006F6BAA" w:rsidRDefault="00337AFB" w:rsidP="007E20F3">
      <w:pPr>
        <w:jc w:val="both"/>
        <w:rPr>
          <w:sz w:val="24"/>
          <w:szCs w:val="24"/>
        </w:rPr>
      </w:pPr>
      <w:r w:rsidRPr="006F6BAA">
        <w:rPr>
          <w:sz w:val="24"/>
          <w:szCs w:val="24"/>
        </w:rPr>
        <w:t xml:space="preserve">The actions for which a grant is given must comply with the objectives of the Programme and the applicant has to </w:t>
      </w:r>
      <w:r w:rsidRPr="006F6BAA">
        <w:rPr>
          <w:b/>
          <w:sz w:val="24"/>
          <w:szCs w:val="24"/>
        </w:rPr>
        <w:t>demonstrate</w:t>
      </w:r>
      <w:r w:rsidR="00783A9D" w:rsidRPr="006F6BAA">
        <w:rPr>
          <w:sz w:val="24"/>
          <w:szCs w:val="24"/>
        </w:rPr>
        <w:t xml:space="preserve"> how this action </w:t>
      </w:r>
      <w:r w:rsidRPr="006F6BAA">
        <w:rPr>
          <w:sz w:val="24"/>
          <w:szCs w:val="24"/>
        </w:rPr>
        <w:t xml:space="preserve">will contribute to the </w:t>
      </w:r>
      <w:r w:rsidR="008E74CD" w:rsidRPr="006F6BAA">
        <w:rPr>
          <w:sz w:val="24"/>
          <w:szCs w:val="24"/>
        </w:rPr>
        <w:t>achievement of the general, specific and operational objectives of the Programme.</w:t>
      </w:r>
    </w:p>
    <w:p w:rsidR="00487EE6" w:rsidRPr="006F6BAA" w:rsidRDefault="00487EE6" w:rsidP="00487EE6">
      <w:pPr>
        <w:jc w:val="both"/>
        <w:rPr>
          <w:iCs/>
          <w:sz w:val="24"/>
          <w:szCs w:val="24"/>
        </w:rPr>
      </w:pPr>
    </w:p>
    <w:p w:rsidR="008A4685" w:rsidRPr="006F6BAA" w:rsidRDefault="008A4685" w:rsidP="00487EE6">
      <w:pPr>
        <w:jc w:val="both"/>
        <w:rPr>
          <w:sz w:val="24"/>
          <w:szCs w:val="24"/>
        </w:rPr>
      </w:pPr>
      <w:r w:rsidRPr="006F6BAA">
        <w:rPr>
          <w:iCs/>
          <w:sz w:val="24"/>
          <w:szCs w:val="24"/>
        </w:rPr>
        <w:lastRenderedPageBreak/>
        <w:t>The AWP</w:t>
      </w:r>
      <w:r w:rsidR="00745C24" w:rsidRPr="006F6BAA">
        <w:rPr>
          <w:iCs/>
          <w:sz w:val="24"/>
          <w:szCs w:val="24"/>
        </w:rPr>
        <w:t>201</w:t>
      </w:r>
      <w:r w:rsidR="00A51F04" w:rsidRPr="006F6BAA">
        <w:rPr>
          <w:iCs/>
          <w:sz w:val="24"/>
          <w:szCs w:val="24"/>
        </w:rPr>
        <w:t>7</w:t>
      </w:r>
      <w:r w:rsidRPr="006F6BAA">
        <w:rPr>
          <w:iCs/>
          <w:sz w:val="24"/>
          <w:szCs w:val="24"/>
          <w:vertAlign w:val="superscript"/>
        </w:rPr>
        <w:footnoteReference w:id="15"/>
      </w:r>
      <w:r w:rsidRPr="006F6BAA">
        <w:rPr>
          <w:iCs/>
          <w:sz w:val="24"/>
          <w:szCs w:val="24"/>
        </w:rPr>
        <w:t xml:space="preserve"> provides that t</w:t>
      </w:r>
      <w:r w:rsidR="00F6405C" w:rsidRPr="006F6BAA">
        <w:rPr>
          <w:iCs/>
          <w:sz w:val="24"/>
          <w:szCs w:val="24"/>
        </w:rPr>
        <w:t>he Commission launches a call for p</w:t>
      </w:r>
      <w:r w:rsidRPr="006F6BAA">
        <w:rPr>
          <w:iCs/>
          <w:sz w:val="24"/>
          <w:szCs w:val="24"/>
        </w:rPr>
        <w:t xml:space="preserve">roposals </w:t>
      </w:r>
      <w:r w:rsidR="009E71E7" w:rsidRPr="006F6BAA">
        <w:rPr>
          <w:iCs/>
          <w:sz w:val="24"/>
          <w:szCs w:val="24"/>
        </w:rPr>
        <w:t xml:space="preserve">for </w:t>
      </w:r>
      <w:r w:rsidRPr="006F6BAA">
        <w:rPr>
          <w:iCs/>
          <w:sz w:val="24"/>
          <w:szCs w:val="24"/>
        </w:rPr>
        <w:t>"</w:t>
      </w:r>
      <w:r w:rsidR="008E7C47" w:rsidRPr="006F6BAA">
        <w:rPr>
          <w:iCs/>
          <w:sz w:val="24"/>
          <w:szCs w:val="24"/>
        </w:rPr>
        <w:t>L</w:t>
      </w:r>
      <w:r w:rsidR="009E71E7" w:rsidRPr="006F6BAA">
        <w:rPr>
          <w:iCs/>
          <w:sz w:val="24"/>
          <w:szCs w:val="24"/>
        </w:rPr>
        <w:t>aw</w:t>
      </w:r>
      <w:r w:rsidR="00487EE6" w:rsidRPr="006F6BAA">
        <w:rPr>
          <w:iCs/>
          <w:sz w:val="24"/>
          <w:szCs w:val="24"/>
        </w:rPr>
        <w:t xml:space="preserve"> </w:t>
      </w:r>
      <w:r w:rsidR="008E7C47" w:rsidRPr="006F6BAA">
        <w:rPr>
          <w:iCs/>
          <w:sz w:val="24"/>
          <w:szCs w:val="24"/>
        </w:rPr>
        <w:t>Training and Studies</w:t>
      </w:r>
      <w:r w:rsidRPr="006F6BAA">
        <w:rPr>
          <w:iCs/>
          <w:sz w:val="24"/>
          <w:szCs w:val="24"/>
        </w:rPr>
        <w:t xml:space="preserve">" in </w:t>
      </w:r>
      <w:r w:rsidR="00E14DF6" w:rsidRPr="006F6BAA">
        <w:rPr>
          <w:iCs/>
          <w:sz w:val="24"/>
          <w:szCs w:val="24"/>
        </w:rPr>
        <w:t>2017</w:t>
      </w:r>
      <w:r w:rsidR="00F6405C" w:rsidRPr="006F6BAA">
        <w:rPr>
          <w:iCs/>
          <w:sz w:val="24"/>
          <w:szCs w:val="24"/>
        </w:rPr>
        <w:t>. Under this c</w:t>
      </w:r>
      <w:r w:rsidRPr="006F6BAA">
        <w:rPr>
          <w:iCs/>
          <w:sz w:val="24"/>
          <w:szCs w:val="24"/>
        </w:rPr>
        <w:t xml:space="preserve">all, </w:t>
      </w:r>
      <w:r w:rsidR="00487EE6" w:rsidRPr="006F6BAA">
        <w:rPr>
          <w:iCs/>
          <w:sz w:val="24"/>
          <w:szCs w:val="24"/>
        </w:rPr>
        <w:t>national and reg</w:t>
      </w:r>
      <w:r w:rsidR="00DC314C" w:rsidRPr="006F6BAA">
        <w:rPr>
          <w:iCs/>
          <w:sz w:val="24"/>
          <w:szCs w:val="24"/>
        </w:rPr>
        <w:t>ional administrations as well as research and educational institutes and other non-profit making entities</w:t>
      </w:r>
      <w:r w:rsidR="00487EE6" w:rsidRPr="006F6BAA">
        <w:rPr>
          <w:iCs/>
          <w:sz w:val="24"/>
          <w:szCs w:val="24"/>
        </w:rPr>
        <w:t xml:space="preserve"> </w:t>
      </w:r>
      <w:r w:rsidRPr="006F6BAA">
        <w:rPr>
          <w:sz w:val="24"/>
          <w:szCs w:val="24"/>
        </w:rPr>
        <w:t xml:space="preserve">are invited to submit applications </w:t>
      </w:r>
      <w:r w:rsidR="009E71E7" w:rsidRPr="006F6BAA">
        <w:rPr>
          <w:sz w:val="24"/>
          <w:szCs w:val="24"/>
        </w:rPr>
        <w:t>for three</w:t>
      </w:r>
      <w:r w:rsidR="00595254" w:rsidRPr="006F6BAA">
        <w:rPr>
          <w:sz w:val="24"/>
          <w:szCs w:val="24"/>
        </w:rPr>
        <w:t xml:space="preserve"> types of specific topics</w:t>
      </w:r>
      <w:r w:rsidRPr="006F6BAA">
        <w:rPr>
          <w:sz w:val="24"/>
          <w:szCs w:val="24"/>
          <w:vertAlign w:val="superscript"/>
        </w:rPr>
        <w:footnoteReference w:id="16"/>
      </w:r>
      <w:r w:rsidRPr="006F6BAA">
        <w:rPr>
          <w:sz w:val="24"/>
          <w:szCs w:val="24"/>
        </w:rPr>
        <w:t>:</w:t>
      </w:r>
    </w:p>
    <w:p w:rsidR="007F1FE3" w:rsidRPr="006F6BAA" w:rsidRDefault="007F1FE3" w:rsidP="007F1FE3">
      <w:pPr>
        <w:rPr>
          <w:sz w:val="24"/>
          <w:szCs w:val="24"/>
        </w:rPr>
      </w:pPr>
    </w:p>
    <w:p w:rsidR="009E71E7" w:rsidRPr="006F6BAA" w:rsidRDefault="009E71E7" w:rsidP="00DA7CA1">
      <w:pPr>
        <w:pStyle w:val="ListParagraph"/>
        <w:numPr>
          <w:ilvl w:val="0"/>
          <w:numId w:val="25"/>
        </w:numPr>
        <w:jc w:val="both"/>
        <w:rPr>
          <w:sz w:val="24"/>
          <w:szCs w:val="24"/>
        </w:rPr>
      </w:pPr>
      <w:r w:rsidRPr="006F6BAA">
        <w:rPr>
          <w:sz w:val="24"/>
          <w:szCs w:val="24"/>
        </w:rPr>
        <w:t>Developing high-profile research activities, including studies in comparative law (including dissemination of the results and a concluding conference, where applicable);</w:t>
      </w:r>
    </w:p>
    <w:p w:rsidR="009E71E7" w:rsidRPr="006F6BAA" w:rsidRDefault="009E71E7" w:rsidP="00DA7CA1">
      <w:pPr>
        <w:pStyle w:val="ListParagraph"/>
        <w:numPr>
          <w:ilvl w:val="0"/>
          <w:numId w:val="25"/>
        </w:numPr>
        <w:jc w:val="both"/>
        <w:rPr>
          <w:sz w:val="24"/>
          <w:szCs w:val="24"/>
        </w:rPr>
      </w:pPr>
      <w:r w:rsidRPr="006F6BAA">
        <w:rPr>
          <w:sz w:val="24"/>
          <w:szCs w:val="24"/>
        </w:rPr>
        <w:t xml:space="preserve">Increasing cooperation and awareness among practitioners and academics (through conferences, including the organisation of the annual meeting of the presidents of the Associations for European Criminal Law and for the Protection of EU Financial Interests); </w:t>
      </w:r>
    </w:p>
    <w:p w:rsidR="009E71E7" w:rsidRPr="006F6BAA" w:rsidRDefault="009E71E7" w:rsidP="00DA7CA1">
      <w:pPr>
        <w:pStyle w:val="ListParagraph"/>
        <w:numPr>
          <w:ilvl w:val="0"/>
          <w:numId w:val="25"/>
        </w:numPr>
        <w:jc w:val="both"/>
        <w:rPr>
          <w:sz w:val="24"/>
          <w:szCs w:val="24"/>
        </w:rPr>
      </w:pPr>
      <w:r w:rsidRPr="006F6BAA">
        <w:rPr>
          <w:sz w:val="24"/>
          <w:szCs w:val="24"/>
        </w:rPr>
        <w:t>Developing periodical scientific publications and other tools for the dissemination of scientific knowledge.</w:t>
      </w:r>
      <w:bookmarkStart w:id="87" w:name="_Toc388000928"/>
      <w:bookmarkStart w:id="88" w:name="_Toc388001226"/>
      <w:bookmarkStart w:id="89" w:name="_Toc388000929"/>
      <w:bookmarkStart w:id="90" w:name="_Toc388001227"/>
      <w:bookmarkStart w:id="91" w:name="_Toc388000930"/>
      <w:bookmarkStart w:id="92" w:name="_Toc388001228"/>
      <w:bookmarkStart w:id="93" w:name="_Toc388000931"/>
      <w:bookmarkStart w:id="94" w:name="_Toc388001229"/>
      <w:bookmarkStart w:id="95" w:name="_Toc388000932"/>
      <w:bookmarkStart w:id="96" w:name="_Toc388001230"/>
      <w:bookmarkStart w:id="97" w:name="_Toc388000933"/>
      <w:bookmarkStart w:id="98" w:name="_Toc388001231"/>
      <w:bookmarkStart w:id="99" w:name="_Toc388000934"/>
      <w:bookmarkStart w:id="100" w:name="_Toc388001232"/>
      <w:bookmarkStart w:id="101" w:name="_Toc388000935"/>
      <w:bookmarkStart w:id="102" w:name="_Toc388001233"/>
      <w:bookmarkStart w:id="103" w:name="_Toc388000936"/>
      <w:bookmarkStart w:id="104" w:name="_Toc388001234"/>
      <w:bookmarkStart w:id="105" w:name="_Toc388000937"/>
      <w:bookmarkStart w:id="106" w:name="_Toc388001235"/>
      <w:bookmarkStart w:id="107" w:name="_Toc388000938"/>
      <w:bookmarkStart w:id="108" w:name="_Toc388001236"/>
      <w:bookmarkStart w:id="109" w:name="_Toc388000939"/>
      <w:bookmarkStart w:id="110" w:name="_Toc388001237"/>
      <w:bookmarkStart w:id="111" w:name="_Toc388000940"/>
      <w:bookmarkStart w:id="112" w:name="_Toc388001238"/>
      <w:bookmarkStart w:id="113" w:name="_Toc388000941"/>
      <w:bookmarkStart w:id="114" w:name="_Toc388001239"/>
      <w:bookmarkStart w:id="115" w:name="_Toc388000942"/>
      <w:bookmarkStart w:id="116" w:name="_Toc388001240"/>
      <w:bookmarkStart w:id="117" w:name="_Toc388000943"/>
      <w:bookmarkStart w:id="118" w:name="_Toc388001241"/>
      <w:bookmarkStart w:id="119" w:name="_Toc388000944"/>
      <w:bookmarkStart w:id="120" w:name="_Toc388001242"/>
      <w:bookmarkStart w:id="121" w:name="_Toc373333084"/>
      <w:bookmarkStart w:id="122" w:name="_Toc373500828"/>
      <w:bookmarkStart w:id="123" w:name="_Toc373501105"/>
      <w:bookmarkStart w:id="124" w:name="_Toc373333085"/>
      <w:bookmarkStart w:id="125" w:name="_Toc373500829"/>
      <w:bookmarkStart w:id="126" w:name="_Toc373501106"/>
      <w:bookmarkStart w:id="127" w:name="_Toc373333086"/>
      <w:bookmarkStart w:id="128" w:name="_Toc373500830"/>
      <w:bookmarkStart w:id="129" w:name="_Toc373501107"/>
      <w:bookmarkStart w:id="130" w:name="_Toc373333087"/>
      <w:bookmarkStart w:id="131" w:name="_Toc373500831"/>
      <w:bookmarkStart w:id="132" w:name="_Toc373501108"/>
      <w:bookmarkStart w:id="133" w:name="_Toc373333088"/>
      <w:bookmarkStart w:id="134" w:name="_Toc373500832"/>
      <w:bookmarkStart w:id="135" w:name="_Toc373501109"/>
      <w:bookmarkStart w:id="136" w:name="_Toc373333089"/>
      <w:bookmarkStart w:id="137" w:name="_Toc373500833"/>
      <w:bookmarkStart w:id="138" w:name="_Toc373501110"/>
      <w:bookmarkStart w:id="139" w:name="_Toc373333090"/>
      <w:bookmarkStart w:id="140" w:name="_Toc373500834"/>
      <w:bookmarkStart w:id="141" w:name="_Toc373501111"/>
      <w:bookmarkStart w:id="142" w:name="_Toc373333091"/>
      <w:bookmarkStart w:id="143" w:name="_Toc373500835"/>
      <w:bookmarkStart w:id="144" w:name="_Toc373501112"/>
      <w:bookmarkStart w:id="145" w:name="_Toc373333092"/>
      <w:bookmarkStart w:id="146" w:name="_Toc373500836"/>
      <w:bookmarkStart w:id="147" w:name="_Toc373501113"/>
      <w:bookmarkStart w:id="148" w:name="_Toc373333093"/>
      <w:bookmarkStart w:id="149" w:name="_Toc373500837"/>
      <w:bookmarkStart w:id="150" w:name="_Toc373501114"/>
      <w:bookmarkStart w:id="151" w:name="_Toc373333094"/>
      <w:bookmarkStart w:id="152" w:name="_Toc373500838"/>
      <w:bookmarkStart w:id="153" w:name="_Toc373501115"/>
      <w:bookmarkStart w:id="154" w:name="_Toc373333095"/>
      <w:bookmarkStart w:id="155" w:name="_Toc373500839"/>
      <w:bookmarkStart w:id="156" w:name="_Toc373501116"/>
      <w:bookmarkStart w:id="157" w:name="_Toc373333096"/>
      <w:bookmarkStart w:id="158" w:name="_Toc373500840"/>
      <w:bookmarkStart w:id="159" w:name="_Toc373501117"/>
      <w:bookmarkStart w:id="160" w:name="_Toc388430593"/>
      <w:bookmarkStart w:id="161" w:name="_Toc388430993"/>
      <w:bookmarkStart w:id="162" w:name="_Toc388620807"/>
      <w:bookmarkStart w:id="163" w:name="_Toc388862568"/>
      <w:bookmarkStart w:id="164" w:name="_Toc388867203"/>
      <w:bookmarkStart w:id="165" w:name="_Toc388867338"/>
      <w:bookmarkStart w:id="166" w:name="_Toc388869033"/>
      <w:bookmarkStart w:id="167" w:name="_Toc423015984"/>
      <w:bookmarkStart w:id="168" w:name="_Toc423016103"/>
      <w:bookmarkStart w:id="169" w:name="_Toc446498616"/>
      <w:bookmarkStart w:id="170" w:name="_Toc48149153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E56510" w:rsidRPr="006F6BAA" w:rsidRDefault="00E56510" w:rsidP="00E56510">
      <w:pPr>
        <w:pStyle w:val="ListParagraph"/>
        <w:jc w:val="both"/>
        <w:rPr>
          <w:sz w:val="24"/>
          <w:szCs w:val="24"/>
        </w:rPr>
      </w:pPr>
    </w:p>
    <w:p w:rsidR="00F6405C" w:rsidRPr="006F6BAA" w:rsidRDefault="00F6405C" w:rsidP="00422272">
      <w:pPr>
        <w:pStyle w:val="Heading2"/>
        <w:rPr>
          <w:sz w:val="24"/>
          <w:szCs w:val="24"/>
        </w:rPr>
      </w:pPr>
      <w:bookmarkStart w:id="171" w:name="_Toc484788370"/>
      <w:r w:rsidRPr="006F6BAA">
        <w:rPr>
          <w:sz w:val="24"/>
          <w:szCs w:val="24"/>
        </w:rPr>
        <w:t xml:space="preserve">2.2 </w:t>
      </w:r>
      <w:r w:rsidRPr="006F6BAA">
        <w:rPr>
          <w:sz w:val="24"/>
          <w:szCs w:val="24"/>
        </w:rPr>
        <w:tab/>
        <w:t>Bodies and legal entities that can submit applications</w:t>
      </w:r>
      <w:bookmarkEnd w:id="160"/>
      <w:bookmarkEnd w:id="161"/>
      <w:bookmarkEnd w:id="162"/>
      <w:bookmarkEnd w:id="163"/>
      <w:bookmarkEnd w:id="164"/>
      <w:bookmarkEnd w:id="165"/>
      <w:bookmarkEnd w:id="166"/>
      <w:bookmarkEnd w:id="167"/>
      <w:bookmarkEnd w:id="168"/>
      <w:bookmarkEnd w:id="169"/>
      <w:bookmarkEnd w:id="170"/>
      <w:bookmarkEnd w:id="171"/>
    </w:p>
    <w:p w:rsidR="008874FD" w:rsidRPr="006F6BAA" w:rsidRDefault="008874FD" w:rsidP="008874FD">
      <w:pPr>
        <w:autoSpaceDE w:val="0"/>
        <w:autoSpaceDN w:val="0"/>
        <w:adjustRightInd w:val="0"/>
        <w:rPr>
          <w:sz w:val="24"/>
          <w:szCs w:val="24"/>
        </w:rPr>
      </w:pPr>
      <w:r w:rsidRPr="006F6BAA">
        <w:rPr>
          <w:sz w:val="24"/>
          <w:szCs w:val="24"/>
        </w:rPr>
        <w:t xml:space="preserve">The bodies eligible to receive grants under </w:t>
      </w:r>
      <w:r w:rsidR="00D0312B" w:rsidRPr="006F6BAA">
        <w:rPr>
          <w:sz w:val="24"/>
          <w:szCs w:val="24"/>
        </w:rPr>
        <w:t>this call</w:t>
      </w:r>
      <w:r w:rsidRPr="006F6BAA">
        <w:rPr>
          <w:sz w:val="24"/>
          <w:szCs w:val="24"/>
        </w:rPr>
        <w:t xml:space="preserve"> are</w:t>
      </w:r>
      <w:bookmarkStart w:id="172" w:name="_Ref421710473"/>
      <w:r w:rsidRPr="006F6BAA">
        <w:rPr>
          <w:rStyle w:val="FootnoteReference"/>
          <w:sz w:val="24"/>
          <w:szCs w:val="24"/>
        </w:rPr>
        <w:footnoteReference w:id="17"/>
      </w:r>
      <w:bookmarkEnd w:id="172"/>
      <w:r w:rsidRPr="006F6BAA">
        <w:rPr>
          <w:sz w:val="24"/>
          <w:szCs w:val="24"/>
        </w:rPr>
        <w:t xml:space="preserve">: </w:t>
      </w:r>
    </w:p>
    <w:p w:rsidR="00994186" w:rsidRPr="006F6BAA" w:rsidRDefault="00994186" w:rsidP="00780D2C">
      <w:pPr>
        <w:jc w:val="both"/>
        <w:rPr>
          <w:sz w:val="24"/>
          <w:szCs w:val="24"/>
        </w:rPr>
      </w:pPr>
    </w:p>
    <w:p w:rsidR="00FA1308" w:rsidRPr="006F6BAA" w:rsidRDefault="00930696" w:rsidP="00DA7CA1">
      <w:pPr>
        <w:numPr>
          <w:ilvl w:val="0"/>
          <w:numId w:val="9"/>
        </w:numPr>
        <w:tabs>
          <w:tab w:val="left" w:pos="567"/>
        </w:tabs>
        <w:ind w:left="567" w:hanging="567"/>
        <w:jc w:val="both"/>
        <w:rPr>
          <w:sz w:val="24"/>
          <w:szCs w:val="24"/>
        </w:rPr>
      </w:pPr>
      <w:r w:rsidRPr="006F6BAA">
        <w:rPr>
          <w:sz w:val="24"/>
          <w:szCs w:val="24"/>
        </w:rPr>
        <w:t>National or regional administrations of a Member State</w:t>
      </w:r>
      <w:r w:rsidR="001E4BC6" w:rsidRPr="006F6BAA">
        <w:rPr>
          <w:sz w:val="24"/>
          <w:szCs w:val="24"/>
        </w:rPr>
        <w:t xml:space="preserve"> </w:t>
      </w:r>
      <w:r w:rsidRPr="006F6BAA">
        <w:rPr>
          <w:sz w:val="24"/>
          <w:szCs w:val="24"/>
        </w:rPr>
        <w:t xml:space="preserve">which promote the strengthening of action at Union level to protect the </w:t>
      </w:r>
      <w:r w:rsidR="00FA1308" w:rsidRPr="006F6BAA">
        <w:rPr>
          <w:sz w:val="24"/>
          <w:szCs w:val="24"/>
        </w:rPr>
        <w:t>European Union's financial interests</w:t>
      </w:r>
      <w:r w:rsidR="00C65A8D" w:rsidRPr="006F6BAA">
        <w:rPr>
          <w:sz w:val="24"/>
          <w:szCs w:val="24"/>
        </w:rPr>
        <w:t>;</w:t>
      </w:r>
    </w:p>
    <w:p w:rsidR="00930696" w:rsidRPr="006F6BAA" w:rsidRDefault="00C65A8D" w:rsidP="00FA1308">
      <w:pPr>
        <w:tabs>
          <w:tab w:val="left" w:pos="567"/>
        </w:tabs>
        <w:ind w:left="567"/>
        <w:jc w:val="both"/>
        <w:rPr>
          <w:sz w:val="24"/>
          <w:szCs w:val="24"/>
        </w:rPr>
      </w:pPr>
      <w:proofErr w:type="gramStart"/>
      <w:r w:rsidRPr="006F6BAA">
        <w:rPr>
          <w:sz w:val="24"/>
          <w:szCs w:val="24"/>
        </w:rPr>
        <w:t>and</w:t>
      </w:r>
      <w:proofErr w:type="gramEnd"/>
      <w:r w:rsidR="00930696" w:rsidRPr="006F6BAA">
        <w:rPr>
          <w:sz w:val="24"/>
          <w:szCs w:val="24"/>
        </w:rPr>
        <w:t xml:space="preserve"> </w:t>
      </w:r>
    </w:p>
    <w:p w:rsidR="00930696" w:rsidRPr="006F6BAA" w:rsidRDefault="00930696" w:rsidP="00DA7CA1">
      <w:pPr>
        <w:numPr>
          <w:ilvl w:val="0"/>
          <w:numId w:val="9"/>
        </w:numPr>
        <w:tabs>
          <w:tab w:val="left" w:pos="567"/>
        </w:tabs>
        <w:ind w:left="567" w:hanging="567"/>
        <w:jc w:val="both"/>
        <w:rPr>
          <w:sz w:val="24"/>
          <w:szCs w:val="24"/>
        </w:rPr>
      </w:pPr>
      <w:r w:rsidRPr="006F6BAA">
        <w:rPr>
          <w:sz w:val="24"/>
          <w:szCs w:val="24"/>
        </w:rPr>
        <w:t>Research and educational institutes and non-profit-making entities provided that they have been established and have been operating for at least one year, in a Member State and promote the strengthening of action at Union level to protect the financial interests of the Union.</w:t>
      </w:r>
    </w:p>
    <w:p w:rsidR="00930696" w:rsidRPr="006F6BAA" w:rsidRDefault="00930696" w:rsidP="004E361A">
      <w:pPr>
        <w:tabs>
          <w:tab w:val="left" w:pos="567"/>
        </w:tabs>
        <w:jc w:val="both"/>
        <w:rPr>
          <w:sz w:val="24"/>
          <w:szCs w:val="24"/>
        </w:rPr>
      </w:pPr>
      <w:r w:rsidRPr="006F6BAA">
        <w:rPr>
          <w:sz w:val="24"/>
          <w:szCs w:val="24"/>
        </w:rPr>
        <w:t xml:space="preserve"> </w:t>
      </w:r>
    </w:p>
    <w:p w:rsidR="00780D2C" w:rsidRPr="006F6BAA" w:rsidRDefault="00780D2C" w:rsidP="00780D2C">
      <w:pPr>
        <w:jc w:val="both"/>
        <w:rPr>
          <w:sz w:val="24"/>
          <w:szCs w:val="24"/>
        </w:rPr>
      </w:pPr>
      <w:r w:rsidRPr="006F6BAA">
        <w:rPr>
          <w:sz w:val="24"/>
          <w:szCs w:val="24"/>
        </w:rPr>
        <w:t>Applications from third countries are subject to the conditions in Article 7 (2) of the Hercule III Regulation</w:t>
      </w:r>
      <w:r w:rsidRPr="006F6BAA">
        <w:rPr>
          <w:rStyle w:val="FootnoteReference"/>
          <w:sz w:val="24"/>
          <w:szCs w:val="24"/>
          <w:lang w:val="en"/>
        </w:rPr>
        <w:footnoteReference w:id="18"/>
      </w:r>
      <w:r w:rsidRPr="006F6BAA">
        <w:rPr>
          <w:sz w:val="24"/>
          <w:szCs w:val="24"/>
        </w:rPr>
        <w:t>.</w:t>
      </w:r>
    </w:p>
    <w:p w:rsidR="00E56510" w:rsidRPr="006F6BAA" w:rsidRDefault="00E56510" w:rsidP="009C7533">
      <w:pPr>
        <w:jc w:val="both"/>
        <w:rPr>
          <w:sz w:val="24"/>
          <w:szCs w:val="24"/>
        </w:rPr>
      </w:pPr>
    </w:p>
    <w:p w:rsidR="00247E87" w:rsidRPr="006F6BAA" w:rsidRDefault="00292F6B" w:rsidP="00292F6B">
      <w:pPr>
        <w:pStyle w:val="Heading1"/>
        <w:rPr>
          <w:sz w:val="24"/>
          <w:szCs w:val="24"/>
        </w:rPr>
      </w:pPr>
      <w:bookmarkStart w:id="173" w:name="_Toc423015985"/>
      <w:bookmarkStart w:id="174" w:name="_Toc423016104"/>
      <w:bookmarkStart w:id="175" w:name="_Toc446498617"/>
      <w:bookmarkStart w:id="176" w:name="_Toc481491536"/>
      <w:bookmarkStart w:id="177" w:name="_Toc484788371"/>
      <w:r w:rsidRPr="006F6BAA">
        <w:rPr>
          <w:sz w:val="24"/>
          <w:szCs w:val="24"/>
        </w:rPr>
        <w:t>3.</w:t>
      </w:r>
      <w:r w:rsidRPr="006F6BAA">
        <w:rPr>
          <w:sz w:val="24"/>
          <w:szCs w:val="24"/>
        </w:rPr>
        <w:tab/>
      </w:r>
      <w:r w:rsidR="00247E87" w:rsidRPr="006F6BAA">
        <w:rPr>
          <w:sz w:val="24"/>
          <w:szCs w:val="24"/>
        </w:rPr>
        <w:t>Expected results</w:t>
      </w:r>
      <w:bookmarkEnd w:id="173"/>
      <w:bookmarkEnd w:id="174"/>
      <w:bookmarkEnd w:id="175"/>
      <w:r w:rsidR="00247E87" w:rsidRPr="006F6BAA">
        <w:rPr>
          <w:sz w:val="24"/>
          <w:szCs w:val="24"/>
        </w:rPr>
        <w:t xml:space="preserve"> and Deliverables</w:t>
      </w:r>
      <w:bookmarkEnd w:id="176"/>
      <w:bookmarkEnd w:id="177"/>
    </w:p>
    <w:p w:rsidR="00AE46F8" w:rsidRPr="006F6BAA" w:rsidRDefault="00AE46F8" w:rsidP="007446F5">
      <w:pPr>
        <w:pStyle w:val="Heading2"/>
        <w:rPr>
          <w:sz w:val="24"/>
          <w:szCs w:val="24"/>
        </w:rPr>
      </w:pPr>
      <w:bookmarkStart w:id="178" w:name="_Toc388430596"/>
      <w:bookmarkStart w:id="179" w:name="_Toc388430996"/>
      <w:bookmarkStart w:id="180" w:name="_Toc388620810"/>
      <w:bookmarkStart w:id="181" w:name="_Toc388862571"/>
      <w:bookmarkStart w:id="182" w:name="_Toc388867206"/>
      <w:bookmarkStart w:id="183" w:name="_Toc388867341"/>
      <w:bookmarkStart w:id="184" w:name="_Toc388869037"/>
      <w:bookmarkStart w:id="185" w:name="_Toc423015986"/>
      <w:bookmarkStart w:id="186" w:name="_Toc423016105"/>
      <w:bookmarkStart w:id="187" w:name="_Toc446498618"/>
      <w:bookmarkStart w:id="188" w:name="_Toc481491537"/>
      <w:bookmarkStart w:id="189" w:name="_Toc484788372"/>
      <w:r w:rsidRPr="006F6BAA">
        <w:rPr>
          <w:sz w:val="24"/>
          <w:szCs w:val="24"/>
        </w:rPr>
        <w:t>3.1</w:t>
      </w:r>
      <w:r w:rsidRPr="006F6BAA">
        <w:rPr>
          <w:sz w:val="24"/>
          <w:szCs w:val="24"/>
        </w:rPr>
        <w:tab/>
        <w:t>Expected results</w:t>
      </w:r>
      <w:bookmarkEnd w:id="178"/>
      <w:bookmarkEnd w:id="179"/>
      <w:bookmarkEnd w:id="180"/>
      <w:bookmarkEnd w:id="181"/>
      <w:bookmarkEnd w:id="182"/>
      <w:bookmarkEnd w:id="183"/>
      <w:bookmarkEnd w:id="184"/>
      <w:bookmarkEnd w:id="185"/>
      <w:bookmarkEnd w:id="186"/>
      <w:bookmarkEnd w:id="187"/>
      <w:bookmarkEnd w:id="188"/>
      <w:bookmarkEnd w:id="189"/>
    </w:p>
    <w:p w:rsidR="007A3473" w:rsidRPr="006F6BAA" w:rsidRDefault="005206D2" w:rsidP="00487411">
      <w:pPr>
        <w:jc w:val="both"/>
        <w:rPr>
          <w:sz w:val="24"/>
          <w:szCs w:val="24"/>
        </w:rPr>
      </w:pPr>
      <w:r w:rsidRPr="006F6BAA">
        <w:rPr>
          <w:sz w:val="24"/>
          <w:szCs w:val="24"/>
        </w:rPr>
        <w:t>The applicant shall demonstrate how the expected results of the proposed action will be measured and how these results contribute to the achievement of the general, specific and operational objectives of the Hercule III Programme.</w:t>
      </w:r>
      <w:r w:rsidR="00487411" w:rsidRPr="006F6BAA">
        <w:rPr>
          <w:sz w:val="24"/>
          <w:szCs w:val="24"/>
        </w:rPr>
        <w:t xml:space="preserve"> </w:t>
      </w:r>
      <w:r w:rsidR="0037156E" w:rsidRPr="006F6BAA">
        <w:rPr>
          <w:sz w:val="24"/>
          <w:szCs w:val="24"/>
        </w:rPr>
        <w:t>Special attention shall be given to the expected results in the following areas:</w:t>
      </w:r>
    </w:p>
    <w:p w:rsidR="006857F8" w:rsidRPr="006F6BAA" w:rsidRDefault="006857F8" w:rsidP="009C7533">
      <w:pPr>
        <w:jc w:val="both"/>
        <w:rPr>
          <w:sz w:val="24"/>
          <w:szCs w:val="24"/>
        </w:rPr>
      </w:pPr>
    </w:p>
    <w:p w:rsidR="003668F8" w:rsidRPr="006F6BAA" w:rsidRDefault="00815255" w:rsidP="00DA7CA1">
      <w:pPr>
        <w:pStyle w:val="ListParagraph"/>
        <w:numPr>
          <w:ilvl w:val="0"/>
          <w:numId w:val="15"/>
        </w:numPr>
        <w:jc w:val="both"/>
        <w:rPr>
          <w:sz w:val="24"/>
          <w:szCs w:val="24"/>
        </w:rPr>
      </w:pPr>
      <w:r w:rsidRPr="006F6BAA">
        <w:rPr>
          <w:sz w:val="24"/>
          <w:szCs w:val="24"/>
        </w:rPr>
        <w:lastRenderedPageBreak/>
        <w:t>Development of high-profile research activities, including comparative law studies;</w:t>
      </w:r>
    </w:p>
    <w:p w:rsidR="0078773D" w:rsidRPr="006F6BAA" w:rsidRDefault="00815255" w:rsidP="00DA7CA1">
      <w:pPr>
        <w:pStyle w:val="ListParagraph"/>
        <w:numPr>
          <w:ilvl w:val="0"/>
          <w:numId w:val="15"/>
        </w:numPr>
        <w:jc w:val="both"/>
        <w:rPr>
          <w:sz w:val="24"/>
          <w:szCs w:val="24"/>
        </w:rPr>
      </w:pPr>
      <w:r w:rsidRPr="006F6BAA">
        <w:rPr>
          <w:sz w:val="24"/>
          <w:szCs w:val="24"/>
        </w:rPr>
        <w:t>Improved cooperation betw</w:t>
      </w:r>
      <w:r w:rsidR="00101718" w:rsidRPr="006F6BAA">
        <w:rPr>
          <w:sz w:val="24"/>
          <w:szCs w:val="24"/>
        </w:rPr>
        <w:t>een practitioners and academics</w:t>
      </w:r>
      <w:r w:rsidR="0078773D" w:rsidRPr="006F6BAA">
        <w:rPr>
          <w:sz w:val="24"/>
          <w:szCs w:val="24"/>
        </w:rPr>
        <w:t>;</w:t>
      </w:r>
    </w:p>
    <w:p w:rsidR="003F49C4" w:rsidRPr="006F6BAA" w:rsidRDefault="0078773D" w:rsidP="00DA7CA1">
      <w:pPr>
        <w:pStyle w:val="ListParagraph"/>
        <w:numPr>
          <w:ilvl w:val="0"/>
          <w:numId w:val="15"/>
        </w:numPr>
        <w:jc w:val="both"/>
        <w:rPr>
          <w:sz w:val="24"/>
          <w:szCs w:val="24"/>
        </w:rPr>
      </w:pPr>
      <w:r w:rsidRPr="006F6BAA">
        <w:rPr>
          <w:sz w:val="24"/>
          <w:szCs w:val="24"/>
        </w:rPr>
        <w:t xml:space="preserve">Increased </w:t>
      </w:r>
      <w:r w:rsidR="00815255" w:rsidRPr="006F6BAA">
        <w:rPr>
          <w:sz w:val="24"/>
          <w:szCs w:val="24"/>
        </w:rPr>
        <w:t>awareness among the judiciary and other branches of the legal profession about the protection of the financial interests of the Union</w:t>
      </w:r>
      <w:r w:rsidR="00887BFD" w:rsidRPr="006F6BAA">
        <w:rPr>
          <w:sz w:val="24"/>
          <w:szCs w:val="24"/>
        </w:rPr>
        <w:t>.</w:t>
      </w:r>
    </w:p>
    <w:p w:rsidR="0036433B" w:rsidRPr="006F6BAA" w:rsidRDefault="0036433B" w:rsidP="0036433B">
      <w:pPr>
        <w:jc w:val="both"/>
        <w:rPr>
          <w:sz w:val="24"/>
          <w:szCs w:val="24"/>
        </w:rPr>
      </w:pPr>
    </w:p>
    <w:p w:rsidR="0036433B" w:rsidRPr="006F6BAA" w:rsidRDefault="0036433B" w:rsidP="0036433B">
      <w:pPr>
        <w:jc w:val="both"/>
        <w:rPr>
          <w:sz w:val="24"/>
          <w:szCs w:val="24"/>
        </w:rPr>
      </w:pPr>
      <w:r w:rsidRPr="006F6BAA">
        <w:rPr>
          <w:sz w:val="24"/>
          <w:szCs w:val="24"/>
        </w:rPr>
        <w:t xml:space="preserve">The above-mentioned list of results is not exhaustive and the applicants may indicated more than one category or add results it considers relevant in relation to the objectives of the Programme. </w:t>
      </w:r>
    </w:p>
    <w:p w:rsidR="00487411" w:rsidRPr="006F6BAA" w:rsidRDefault="00487411" w:rsidP="007446F5">
      <w:pPr>
        <w:pStyle w:val="Heading2"/>
        <w:rPr>
          <w:sz w:val="24"/>
          <w:szCs w:val="24"/>
        </w:rPr>
      </w:pPr>
      <w:bookmarkStart w:id="190" w:name="_Toc388430597"/>
      <w:bookmarkStart w:id="191" w:name="_Toc388430997"/>
      <w:bookmarkStart w:id="192" w:name="_Toc388620811"/>
      <w:bookmarkStart w:id="193" w:name="_Toc388862572"/>
      <w:bookmarkStart w:id="194" w:name="_Toc388867207"/>
      <w:bookmarkStart w:id="195" w:name="_Toc388867342"/>
      <w:bookmarkStart w:id="196" w:name="_Toc388869038"/>
      <w:bookmarkStart w:id="197" w:name="_Toc423015987"/>
      <w:bookmarkStart w:id="198" w:name="_Toc423016106"/>
      <w:bookmarkStart w:id="199" w:name="_Toc446498619"/>
      <w:bookmarkStart w:id="200" w:name="_Toc481491538"/>
      <w:bookmarkStart w:id="201" w:name="_Toc484788373"/>
      <w:r w:rsidRPr="006F6BAA">
        <w:rPr>
          <w:sz w:val="24"/>
          <w:szCs w:val="24"/>
        </w:rPr>
        <w:t>3.2</w:t>
      </w:r>
      <w:r w:rsidRPr="006F6BAA">
        <w:rPr>
          <w:sz w:val="24"/>
          <w:szCs w:val="24"/>
        </w:rPr>
        <w:tab/>
        <w:t>Deliverables</w:t>
      </w:r>
      <w:bookmarkEnd w:id="190"/>
      <w:bookmarkEnd w:id="191"/>
      <w:bookmarkEnd w:id="192"/>
      <w:bookmarkEnd w:id="193"/>
      <w:bookmarkEnd w:id="194"/>
      <w:bookmarkEnd w:id="195"/>
      <w:bookmarkEnd w:id="196"/>
      <w:bookmarkEnd w:id="197"/>
      <w:bookmarkEnd w:id="198"/>
      <w:bookmarkEnd w:id="199"/>
      <w:bookmarkEnd w:id="200"/>
      <w:bookmarkEnd w:id="201"/>
    </w:p>
    <w:p w:rsidR="00056181" w:rsidRPr="006F6BAA" w:rsidRDefault="00BA078B" w:rsidP="00BA078B">
      <w:pPr>
        <w:jc w:val="both"/>
        <w:rPr>
          <w:sz w:val="24"/>
          <w:szCs w:val="24"/>
        </w:rPr>
      </w:pPr>
      <w:r w:rsidRPr="006F6BAA">
        <w:rPr>
          <w:sz w:val="24"/>
          <w:szCs w:val="24"/>
        </w:rPr>
        <w:t xml:space="preserve">The results and achievements of the actions shall be reported in a </w:t>
      </w:r>
      <w:r w:rsidRPr="006F6BAA">
        <w:rPr>
          <w:b/>
          <w:sz w:val="24"/>
          <w:szCs w:val="24"/>
        </w:rPr>
        <w:t xml:space="preserve">final technical report </w:t>
      </w:r>
      <w:r w:rsidRPr="006F6BAA">
        <w:rPr>
          <w:sz w:val="24"/>
          <w:szCs w:val="24"/>
        </w:rPr>
        <w:t xml:space="preserve">and a </w:t>
      </w:r>
      <w:r w:rsidRPr="006F6BAA">
        <w:rPr>
          <w:b/>
          <w:sz w:val="24"/>
          <w:szCs w:val="24"/>
        </w:rPr>
        <w:t>final financial report</w:t>
      </w:r>
      <w:r w:rsidRPr="006F6BAA">
        <w:rPr>
          <w:rStyle w:val="FootnoteReference"/>
          <w:sz w:val="24"/>
          <w:szCs w:val="24"/>
        </w:rPr>
        <w:footnoteReference w:id="19"/>
      </w:r>
      <w:r w:rsidRPr="006F6BAA">
        <w:rPr>
          <w:sz w:val="24"/>
          <w:szCs w:val="24"/>
        </w:rPr>
        <w:t>.</w:t>
      </w:r>
      <w:r w:rsidRPr="006F6BAA">
        <w:rPr>
          <w:b/>
          <w:sz w:val="24"/>
          <w:szCs w:val="24"/>
        </w:rPr>
        <w:t xml:space="preserve"> </w:t>
      </w:r>
      <w:r w:rsidR="00EA2829" w:rsidRPr="006F6BAA">
        <w:rPr>
          <w:sz w:val="24"/>
          <w:szCs w:val="24"/>
        </w:rPr>
        <w:t>These final reports shall be submitted at the latest 60 days</w:t>
      </w:r>
      <w:r w:rsidR="00EA2829" w:rsidRPr="006F6BAA">
        <w:rPr>
          <w:sz w:val="24"/>
          <w:szCs w:val="24"/>
          <w:vertAlign w:val="superscript"/>
        </w:rPr>
        <w:footnoteReference w:id="20"/>
      </w:r>
      <w:r w:rsidR="00EA2829" w:rsidRPr="006F6BAA">
        <w:rPr>
          <w:sz w:val="24"/>
          <w:szCs w:val="24"/>
        </w:rPr>
        <w:t xml:space="preserve"> after the closing date indicated in the grant agreement</w:t>
      </w:r>
      <w:r w:rsidR="008C73FE" w:rsidRPr="006F6BAA">
        <w:rPr>
          <w:sz w:val="24"/>
          <w:szCs w:val="24"/>
        </w:rPr>
        <w:t xml:space="preserve"> and shall be accompanied by a letter requesting the balance payment</w:t>
      </w:r>
      <w:r w:rsidR="00EA2829" w:rsidRPr="006F6BAA">
        <w:rPr>
          <w:sz w:val="24"/>
          <w:szCs w:val="24"/>
        </w:rPr>
        <w:t>.</w:t>
      </w:r>
    </w:p>
    <w:p w:rsidR="00D10611" w:rsidRPr="006F6BAA" w:rsidRDefault="00D10611" w:rsidP="00BA078B">
      <w:pPr>
        <w:jc w:val="both"/>
        <w:rPr>
          <w:sz w:val="24"/>
          <w:szCs w:val="24"/>
        </w:rPr>
      </w:pPr>
    </w:p>
    <w:p w:rsidR="00BA078B" w:rsidRPr="006F6BAA" w:rsidRDefault="00BA078B" w:rsidP="00BA078B">
      <w:pPr>
        <w:jc w:val="both"/>
        <w:rPr>
          <w:sz w:val="24"/>
          <w:szCs w:val="24"/>
        </w:rPr>
      </w:pPr>
      <w:r w:rsidRPr="006F6BAA">
        <w:rPr>
          <w:sz w:val="24"/>
          <w:szCs w:val="24"/>
        </w:rPr>
        <w:t>The final technical report shall include:</w:t>
      </w:r>
    </w:p>
    <w:p w:rsidR="003F49C4" w:rsidRPr="006F6BAA" w:rsidRDefault="003F49C4" w:rsidP="003F49C4">
      <w:pPr>
        <w:rPr>
          <w:sz w:val="24"/>
          <w:szCs w:val="24"/>
        </w:rPr>
      </w:pPr>
    </w:p>
    <w:p w:rsidR="00BA078B" w:rsidRPr="006F6BAA" w:rsidRDefault="00311E65" w:rsidP="00DA7CA1">
      <w:pPr>
        <w:pStyle w:val="ListParagraph"/>
        <w:numPr>
          <w:ilvl w:val="0"/>
          <w:numId w:val="11"/>
        </w:numPr>
        <w:jc w:val="both"/>
        <w:rPr>
          <w:sz w:val="24"/>
          <w:szCs w:val="24"/>
        </w:rPr>
      </w:pPr>
      <w:r w:rsidRPr="006F6BAA">
        <w:rPr>
          <w:sz w:val="24"/>
          <w:szCs w:val="24"/>
        </w:rPr>
        <w:t xml:space="preserve">A qualitative description of the results mentioned under </w:t>
      </w:r>
      <w:r w:rsidR="008C73FE" w:rsidRPr="006F6BAA">
        <w:rPr>
          <w:sz w:val="24"/>
          <w:szCs w:val="24"/>
        </w:rPr>
        <w:t xml:space="preserve">point </w:t>
      </w:r>
      <w:r w:rsidRPr="006F6BAA">
        <w:rPr>
          <w:sz w:val="24"/>
          <w:szCs w:val="24"/>
        </w:rPr>
        <w:t>3.1</w:t>
      </w:r>
      <w:r w:rsidR="007D5991" w:rsidRPr="006F6BAA">
        <w:rPr>
          <w:sz w:val="24"/>
          <w:szCs w:val="24"/>
        </w:rPr>
        <w:t xml:space="preserve"> of this</w:t>
      </w:r>
      <w:r w:rsidR="008C73FE" w:rsidRPr="006F6BAA">
        <w:rPr>
          <w:sz w:val="24"/>
          <w:szCs w:val="24"/>
        </w:rPr>
        <w:t xml:space="preserve"> </w:t>
      </w:r>
      <w:r w:rsidR="007D5991" w:rsidRPr="006F6BAA">
        <w:rPr>
          <w:sz w:val="24"/>
          <w:szCs w:val="24"/>
        </w:rPr>
        <w:t>document</w:t>
      </w:r>
      <w:r w:rsidRPr="006F6BAA">
        <w:rPr>
          <w:sz w:val="24"/>
          <w:szCs w:val="24"/>
        </w:rPr>
        <w:t xml:space="preserve">. </w:t>
      </w:r>
      <w:r w:rsidR="00726EA1" w:rsidRPr="006F6BAA">
        <w:rPr>
          <w:sz w:val="24"/>
          <w:szCs w:val="24"/>
        </w:rPr>
        <w:t xml:space="preserve">It shall contain, inter alia, information on the </w:t>
      </w:r>
      <w:r w:rsidR="00307F75" w:rsidRPr="006F6BAA">
        <w:rPr>
          <w:sz w:val="24"/>
          <w:szCs w:val="24"/>
        </w:rPr>
        <w:t xml:space="preserve">results achieved in relation to the initial objectives, </w:t>
      </w:r>
      <w:r w:rsidR="008B36EB" w:rsidRPr="006F6BAA">
        <w:rPr>
          <w:sz w:val="24"/>
          <w:szCs w:val="24"/>
        </w:rPr>
        <w:t xml:space="preserve">the impact of the action and </w:t>
      </w:r>
      <w:r w:rsidR="00E92D4D" w:rsidRPr="006F6BAA">
        <w:rPr>
          <w:sz w:val="24"/>
          <w:szCs w:val="24"/>
        </w:rPr>
        <w:t>its</w:t>
      </w:r>
      <w:r w:rsidR="008B36EB" w:rsidRPr="006F6BAA">
        <w:rPr>
          <w:sz w:val="24"/>
          <w:szCs w:val="24"/>
        </w:rPr>
        <w:t xml:space="preserve"> added value in relation </w:t>
      </w:r>
      <w:r w:rsidR="00E92D4D" w:rsidRPr="006F6BAA">
        <w:rPr>
          <w:sz w:val="24"/>
          <w:szCs w:val="24"/>
        </w:rPr>
        <w:t>with</w:t>
      </w:r>
      <w:r w:rsidR="008B36EB" w:rsidRPr="006F6BAA">
        <w:rPr>
          <w:sz w:val="24"/>
          <w:szCs w:val="24"/>
        </w:rPr>
        <w:t xml:space="preserve"> the protection of the financial interests of the Unio</w:t>
      </w:r>
      <w:r w:rsidR="007524BD" w:rsidRPr="006F6BAA">
        <w:rPr>
          <w:sz w:val="24"/>
          <w:szCs w:val="24"/>
        </w:rPr>
        <w:t>n;</w:t>
      </w:r>
      <w:r w:rsidR="00307F75" w:rsidRPr="006F6BAA">
        <w:rPr>
          <w:sz w:val="24"/>
          <w:szCs w:val="24"/>
        </w:rPr>
        <w:t xml:space="preserve"> </w:t>
      </w:r>
      <w:r w:rsidRPr="006F6BAA">
        <w:rPr>
          <w:sz w:val="24"/>
          <w:szCs w:val="24"/>
        </w:rPr>
        <w:t xml:space="preserve"> </w:t>
      </w:r>
    </w:p>
    <w:p w:rsidR="00D52E26" w:rsidRPr="006F6BAA" w:rsidRDefault="00D52E26" w:rsidP="00DA7CA1">
      <w:pPr>
        <w:pStyle w:val="ListParagraph"/>
        <w:numPr>
          <w:ilvl w:val="0"/>
          <w:numId w:val="11"/>
        </w:numPr>
        <w:jc w:val="both"/>
        <w:rPr>
          <w:sz w:val="24"/>
          <w:szCs w:val="24"/>
        </w:rPr>
      </w:pPr>
      <w:r w:rsidRPr="006F6BAA">
        <w:rPr>
          <w:sz w:val="24"/>
          <w:szCs w:val="24"/>
        </w:rPr>
        <w:t>A quantitative description of the action including information on materials distributed to participants, written outputs,</w:t>
      </w:r>
      <w:r w:rsidR="007524BD" w:rsidRPr="006F6BAA">
        <w:rPr>
          <w:sz w:val="24"/>
          <w:szCs w:val="24"/>
        </w:rPr>
        <w:t xml:space="preserve"> agenda,</w:t>
      </w:r>
      <w:r w:rsidRPr="006F6BAA">
        <w:rPr>
          <w:sz w:val="24"/>
          <w:szCs w:val="24"/>
        </w:rPr>
        <w:t xml:space="preserve"> list of participants and speakers, methods of dissemination, etc.</w:t>
      </w:r>
      <w:r w:rsidR="007524BD" w:rsidRPr="006F6BAA">
        <w:rPr>
          <w:sz w:val="24"/>
          <w:szCs w:val="24"/>
        </w:rPr>
        <w:t>;</w:t>
      </w:r>
      <w:r w:rsidRPr="006F6BAA">
        <w:rPr>
          <w:sz w:val="24"/>
          <w:szCs w:val="24"/>
        </w:rPr>
        <w:t xml:space="preserve"> </w:t>
      </w:r>
    </w:p>
    <w:p w:rsidR="00D52E26" w:rsidRPr="006F6BAA" w:rsidRDefault="00D52E26" w:rsidP="00DA7CA1">
      <w:pPr>
        <w:pStyle w:val="ListParagraph"/>
        <w:numPr>
          <w:ilvl w:val="0"/>
          <w:numId w:val="11"/>
        </w:numPr>
        <w:jc w:val="both"/>
        <w:rPr>
          <w:sz w:val="24"/>
          <w:szCs w:val="24"/>
        </w:rPr>
      </w:pPr>
      <w:r w:rsidRPr="006F6BAA">
        <w:rPr>
          <w:sz w:val="24"/>
          <w:szCs w:val="24"/>
        </w:rPr>
        <w:t>An evaluation of the event</w:t>
      </w:r>
      <w:r w:rsidR="00AD38E8" w:rsidRPr="006F6BAA">
        <w:rPr>
          <w:sz w:val="24"/>
          <w:szCs w:val="24"/>
        </w:rPr>
        <w:t xml:space="preserve"> made by the beneficiary</w:t>
      </w:r>
      <w:r w:rsidRPr="006F6BAA">
        <w:rPr>
          <w:sz w:val="24"/>
          <w:szCs w:val="24"/>
        </w:rPr>
        <w:t xml:space="preserve"> on the basis of the participants’ evaluation form</w:t>
      </w:r>
      <w:r w:rsidR="004D6081" w:rsidRPr="006F6BAA">
        <w:rPr>
          <w:sz w:val="24"/>
          <w:szCs w:val="24"/>
        </w:rPr>
        <w:t>.</w:t>
      </w:r>
    </w:p>
    <w:p w:rsidR="00DF2EFA" w:rsidRPr="006F6BAA" w:rsidRDefault="00DF2EFA" w:rsidP="004D6081">
      <w:pPr>
        <w:jc w:val="both"/>
        <w:rPr>
          <w:sz w:val="24"/>
          <w:szCs w:val="24"/>
        </w:rPr>
      </w:pPr>
    </w:p>
    <w:p w:rsidR="00B64D3B" w:rsidRPr="006F6BAA" w:rsidRDefault="00B64D3B" w:rsidP="004D6081">
      <w:pPr>
        <w:jc w:val="both"/>
        <w:rPr>
          <w:sz w:val="24"/>
          <w:szCs w:val="24"/>
        </w:rPr>
      </w:pPr>
      <w:r w:rsidRPr="006F6BAA">
        <w:rPr>
          <w:sz w:val="24"/>
          <w:szCs w:val="24"/>
        </w:rPr>
        <w:t>The final financial report shall include information on the financial implementation of the grant.</w:t>
      </w:r>
    </w:p>
    <w:p w:rsidR="00B64D3B" w:rsidRPr="006F6BAA" w:rsidRDefault="00B64D3B" w:rsidP="004D6081">
      <w:pPr>
        <w:jc w:val="both"/>
        <w:rPr>
          <w:sz w:val="24"/>
          <w:szCs w:val="24"/>
        </w:rPr>
      </w:pPr>
    </w:p>
    <w:p w:rsidR="006234FF" w:rsidRPr="006F6BAA" w:rsidRDefault="00DF2EFA" w:rsidP="00B16827">
      <w:pPr>
        <w:jc w:val="both"/>
        <w:rPr>
          <w:noProof/>
          <w:sz w:val="24"/>
          <w:szCs w:val="24"/>
        </w:rPr>
      </w:pPr>
      <w:r w:rsidRPr="006F6BAA">
        <w:rPr>
          <w:noProof/>
          <w:sz w:val="24"/>
          <w:szCs w:val="24"/>
        </w:rPr>
        <w:t>The results reported in the final technical report report may be used by the Commission in its annual overview of the implementation of the Programme, as well as input for the final evaluation of the Programme. This annual overview is requested under Article 13 of Regulation 250/2014.</w:t>
      </w:r>
      <w:bookmarkStart w:id="202" w:name="_Toc388430594"/>
      <w:bookmarkStart w:id="203" w:name="_Toc388430994"/>
      <w:bookmarkStart w:id="204" w:name="_Toc388620808"/>
      <w:bookmarkStart w:id="205" w:name="_Toc388862569"/>
      <w:bookmarkStart w:id="206" w:name="_Toc388867204"/>
      <w:bookmarkStart w:id="207" w:name="_Toc388867339"/>
      <w:bookmarkStart w:id="208" w:name="_Toc388869034"/>
      <w:bookmarkStart w:id="209" w:name="_Toc423015988"/>
      <w:bookmarkStart w:id="210" w:name="_Toc423016107"/>
      <w:bookmarkStart w:id="211" w:name="_Toc446498620"/>
      <w:bookmarkStart w:id="212" w:name="_Toc481491539"/>
    </w:p>
    <w:p w:rsidR="0071322D" w:rsidRPr="006F6BAA" w:rsidRDefault="0071322D" w:rsidP="00B16827">
      <w:pPr>
        <w:jc w:val="both"/>
        <w:rPr>
          <w:noProof/>
          <w:sz w:val="24"/>
          <w:szCs w:val="24"/>
        </w:rPr>
      </w:pPr>
    </w:p>
    <w:p w:rsidR="00EA35D2" w:rsidRPr="006F6BAA" w:rsidRDefault="0071322D" w:rsidP="00B16827">
      <w:pPr>
        <w:jc w:val="both"/>
        <w:rPr>
          <w:noProof/>
          <w:sz w:val="24"/>
          <w:szCs w:val="24"/>
        </w:rPr>
      </w:pPr>
      <w:r w:rsidRPr="006F6BAA">
        <w:rPr>
          <w:noProof/>
          <w:sz w:val="24"/>
          <w:szCs w:val="24"/>
        </w:rPr>
        <w:t xml:space="preserve">In case of conferences, six months after the event, the beneficiary shall submit a survey to the participants. The Commission will provide a set of questions for this survey (that can be extended by the beneficiary) that shall </w:t>
      </w:r>
      <w:r w:rsidR="002D026A" w:rsidRPr="006F6BAA">
        <w:rPr>
          <w:noProof/>
          <w:sz w:val="24"/>
          <w:szCs w:val="24"/>
        </w:rPr>
        <w:t xml:space="preserve">be </w:t>
      </w:r>
      <w:r w:rsidR="00467FC0" w:rsidRPr="006F6BAA">
        <w:rPr>
          <w:noProof/>
          <w:sz w:val="24"/>
          <w:szCs w:val="24"/>
        </w:rPr>
        <w:t xml:space="preserve">send to the participants, as well as </w:t>
      </w:r>
      <w:r w:rsidRPr="006F6BAA">
        <w:rPr>
          <w:noProof/>
          <w:sz w:val="24"/>
          <w:szCs w:val="24"/>
        </w:rPr>
        <w:t>a spreadsheet for processing the replies.</w:t>
      </w:r>
      <w:r w:rsidR="00467FC0" w:rsidRPr="006F6BAA">
        <w:rPr>
          <w:noProof/>
          <w:sz w:val="24"/>
          <w:szCs w:val="24"/>
        </w:rPr>
        <w:t xml:space="preserve"> </w:t>
      </w:r>
    </w:p>
    <w:p w:rsidR="00F572B9" w:rsidRDefault="00F572B9">
      <w:pPr>
        <w:rPr>
          <w:noProof/>
          <w:sz w:val="24"/>
          <w:szCs w:val="24"/>
        </w:rPr>
      </w:pPr>
      <w:r>
        <w:rPr>
          <w:noProof/>
          <w:sz w:val="24"/>
          <w:szCs w:val="24"/>
        </w:rPr>
        <w:br w:type="page"/>
      </w:r>
    </w:p>
    <w:p w:rsidR="00DF2EFA" w:rsidRPr="006F6BAA" w:rsidRDefault="000963F3" w:rsidP="00DA7CA1">
      <w:pPr>
        <w:pStyle w:val="Heading1"/>
        <w:numPr>
          <w:ilvl w:val="0"/>
          <w:numId w:val="15"/>
        </w:numPr>
        <w:rPr>
          <w:sz w:val="24"/>
          <w:szCs w:val="24"/>
        </w:rPr>
      </w:pPr>
      <w:bookmarkStart w:id="213" w:name="_Toc484788374"/>
      <w:r w:rsidRPr="006F6BAA">
        <w:rPr>
          <w:sz w:val="24"/>
          <w:szCs w:val="24"/>
        </w:rPr>
        <w:lastRenderedPageBreak/>
        <w:t>T</w:t>
      </w:r>
      <w:bookmarkEnd w:id="202"/>
      <w:bookmarkEnd w:id="203"/>
      <w:bookmarkEnd w:id="204"/>
      <w:bookmarkEnd w:id="205"/>
      <w:bookmarkEnd w:id="206"/>
      <w:bookmarkEnd w:id="207"/>
      <w:bookmarkEnd w:id="208"/>
      <w:r w:rsidRPr="006F6BAA">
        <w:rPr>
          <w:sz w:val="24"/>
          <w:szCs w:val="24"/>
        </w:rPr>
        <w:t>imetable</w:t>
      </w:r>
      <w:bookmarkEnd w:id="209"/>
      <w:bookmarkEnd w:id="210"/>
      <w:bookmarkEnd w:id="211"/>
      <w:bookmarkEnd w:id="212"/>
      <w:bookmarkEnd w:id="213"/>
    </w:p>
    <w:p w:rsidR="006234FF" w:rsidRPr="006F6BAA" w:rsidRDefault="006234FF" w:rsidP="006234FF">
      <w:pPr>
        <w:pStyle w:val="ListParagraph"/>
        <w:rPr>
          <w:sz w:val="24"/>
          <w:szCs w:val="24"/>
        </w:rPr>
      </w:pPr>
    </w:p>
    <w:tbl>
      <w:tblPr>
        <w:tblW w:w="8788" w:type="dxa"/>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52"/>
      </w:tblGrid>
      <w:tr w:rsidR="006345A2" w:rsidRPr="006F6BAA" w:rsidTr="00E41D3D">
        <w:trPr>
          <w:trHeight w:val="593"/>
          <w:jc w:val="center"/>
        </w:trPr>
        <w:tc>
          <w:tcPr>
            <w:tcW w:w="4536" w:type="dxa"/>
          </w:tcPr>
          <w:p w:rsidR="00FE16A8" w:rsidRPr="006F6BAA" w:rsidRDefault="00FE16A8" w:rsidP="00F603D3">
            <w:pPr>
              <w:jc w:val="center"/>
              <w:rPr>
                <w:b/>
                <w:sz w:val="24"/>
                <w:szCs w:val="24"/>
              </w:rPr>
            </w:pPr>
            <w:r w:rsidRPr="006F6BAA">
              <w:rPr>
                <w:b/>
                <w:sz w:val="24"/>
                <w:szCs w:val="24"/>
              </w:rPr>
              <w:t>S</w:t>
            </w:r>
            <w:r w:rsidR="00F603D3" w:rsidRPr="006F6BAA">
              <w:rPr>
                <w:b/>
                <w:sz w:val="24"/>
                <w:szCs w:val="24"/>
              </w:rPr>
              <w:t>tages</w:t>
            </w:r>
          </w:p>
        </w:tc>
        <w:tc>
          <w:tcPr>
            <w:tcW w:w="4252" w:type="dxa"/>
          </w:tcPr>
          <w:p w:rsidR="00FE16A8" w:rsidRPr="006F6BAA" w:rsidRDefault="00F603D3" w:rsidP="00FE16A8">
            <w:pPr>
              <w:jc w:val="center"/>
              <w:rPr>
                <w:b/>
                <w:sz w:val="24"/>
                <w:szCs w:val="24"/>
              </w:rPr>
            </w:pPr>
            <w:r w:rsidRPr="006F6BAA">
              <w:rPr>
                <w:b/>
                <w:sz w:val="24"/>
                <w:szCs w:val="24"/>
              </w:rPr>
              <w:t>Indicative Dates</w:t>
            </w:r>
          </w:p>
        </w:tc>
      </w:tr>
      <w:tr w:rsidR="006345A2" w:rsidRPr="006F6BAA" w:rsidTr="00E41D3D">
        <w:trPr>
          <w:trHeight w:val="593"/>
          <w:jc w:val="center"/>
        </w:trPr>
        <w:tc>
          <w:tcPr>
            <w:tcW w:w="4536" w:type="dxa"/>
          </w:tcPr>
          <w:p w:rsidR="00156022" w:rsidRPr="006F6BAA" w:rsidRDefault="00E10E80" w:rsidP="00EF568B">
            <w:pPr>
              <w:rPr>
                <w:sz w:val="24"/>
                <w:szCs w:val="24"/>
              </w:rPr>
            </w:pPr>
            <w:r w:rsidRPr="006F6BAA">
              <w:rPr>
                <w:sz w:val="24"/>
                <w:szCs w:val="24"/>
              </w:rPr>
              <w:t>Publication of the c</w:t>
            </w:r>
            <w:r w:rsidR="00156022" w:rsidRPr="006F6BAA">
              <w:rPr>
                <w:sz w:val="24"/>
                <w:szCs w:val="24"/>
              </w:rPr>
              <w:t xml:space="preserve">all </w:t>
            </w:r>
            <w:r w:rsidRPr="006F6BAA">
              <w:rPr>
                <w:sz w:val="24"/>
                <w:szCs w:val="24"/>
              </w:rPr>
              <w:t>for p</w:t>
            </w:r>
            <w:r w:rsidR="00EF568B" w:rsidRPr="006F6BAA">
              <w:rPr>
                <w:sz w:val="24"/>
                <w:szCs w:val="24"/>
              </w:rPr>
              <w:t>roposals</w:t>
            </w:r>
          </w:p>
        </w:tc>
        <w:tc>
          <w:tcPr>
            <w:tcW w:w="4252" w:type="dxa"/>
          </w:tcPr>
          <w:p w:rsidR="00156022" w:rsidRPr="006F6BAA" w:rsidRDefault="00F572B9" w:rsidP="00F572B9">
            <w:pPr>
              <w:ind w:left="-85"/>
              <w:jc w:val="both"/>
              <w:rPr>
                <w:sz w:val="24"/>
                <w:szCs w:val="24"/>
              </w:rPr>
            </w:pPr>
            <w:r>
              <w:rPr>
                <w:sz w:val="24"/>
                <w:szCs w:val="24"/>
              </w:rPr>
              <w:t>June</w:t>
            </w:r>
            <w:r w:rsidR="00817B7F" w:rsidRPr="006F6BAA">
              <w:rPr>
                <w:sz w:val="24"/>
                <w:szCs w:val="24"/>
              </w:rPr>
              <w:t xml:space="preserve"> </w:t>
            </w:r>
            <w:r w:rsidR="00745C24" w:rsidRPr="006F6BAA">
              <w:rPr>
                <w:sz w:val="24"/>
                <w:szCs w:val="24"/>
              </w:rPr>
              <w:t>201</w:t>
            </w:r>
            <w:r w:rsidR="00906E1C" w:rsidRPr="006F6BAA">
              <w:rPr>
                <w:sz w:val="24"/>
                <w:szCs w:val="24"/>
              </w:rPr>
              <w:t>7</w:t>
            </w:r>
          </w:p>
        </w:tc>
      </w:tr>
      <w:tr w:rsidR="006345A2" w:rsidRPr="006F6BAA" w:rsidTr="00E41D3D">
        <w:trPr>
          <w:trHeight w:val="593"/>
          <w:jc w:val="center"/>
        </w:trPr>
        <w:tc>
          <w:tcPr>
            <w:tcW w:w="4536" w:type="dxa"/>
          </w:tcPr>
          <w:p w:rsidR="005D6AD3" w:rsidRPr="006F6BAA" w:rsidRDefault="005D6AD3" w:rsidP="00EF568B">
            <w:pPr>
              <w:rPr>
                <w:sz w:val="24"/>
                <w:szCs w:val="24"/>
              </w:rPr>
            </w:pPr>
            <w:r w:rsidRPr="006F6BAA">
              <w:rPr>
                <w:sz w:val="24"/>
                <w:szCs w:val="24"/>
              </w:rPr>
              <w:t xml:space="preserve">Last day for </w:t>
            </w:r>
            <w:r w:rsidR="00355F2C" w:rsidRPr="006F6BAA">
              <w:rPr>
                <w:sz w:val="24"/>
                <w:szCs w:val="24"/>
              </w:rPr>
              <w:t>submission of questions on the call for p</w:t>
            </w:r>
            <w:r w:rsidRPr="006F6BAA">
              <w:rPr>
                <w:sz w:val="24"/>
                <w:szCs w:val="24"/>
              </w:rPr>
              <w:t>roposals</w:t>
            </w:r>
          </w:p>
        </w:tc>
        <w:tc>
          <w:tcPr>
            <w:tcW w:w="4252" w:type="dxa"/>
          </w:tcPr>
          <w:p w:rsidR="005D6AD3" w:rsidRPr="006F6BAA" w:rsidRDefault="00355F2C" w:rsidP="004A6B87">
            <w:pPr>
              <w:ind w:left="-85"/>
              <w:jc w:val="both"/>
              <w:rPr>
                <w:sz w:val="24"/>
                <w:szCs w:val="24"/>
              </w:rPr>
            </w:pPr>
            <w:r w:rsidRPr="006F6BAA">
              <w:rPr>
                <w:sz w:val="24"/>
                <w:szCs w:val="24"/>
              </w:rPr>
              <w:t>Wednesday</w:t>
            </w:r>
            <w:r w:rsidR="00B203F2" w:rsidRPr="006F6BAA">
              <w:rPr>
                <w:sz w:val="24"/>
                <w:szCs w:val="24"/>
              </w:rPr>
              <w:t>, </w:t>
            </w:r>
            <w:r w:rsidR="008B6097" w:rsidRPr="006F6BAA">
              <w:rPr>
                <w:sz w:val="24"/>
                <w:szCs w:val="24"/>
              </w:rPr>
              <w:t>2 August</w:t>
            </w:r>
            <w:r w:rsidR="00745C24" w:rsidRPr="006F6BAA">
              <w:rPr>
                <w:sz w:val="24"/>
                <w:szCs w:val="24"/>
              </w:rPr>
              <w:t> 201</w:t>
            </w:r>
            <w:r w:rsidRPr="006F6BAA">
              <w:rPr>
                <w:sz w:val="24"/>
                <w:szCs w:val="24"/>
              </w:rPr>
              <w:t>7</w:t>
            </w:r>
          </w:p>
        </w:tc>
      </w:tr>
      <w:tr w:rsidR="006345A2" w:rsidRPr="006F6BAA" w:rsidTr="00E41D3D">
        <w:trPr>
          <w:jc w:val="center"/>
        </w:trPr>
        <w:tc>
          <w:tcPr>
            <w:tcW w:w="4536" w:type="dxa"/>
          </w:tcPr>
          <w:p w:rsidR="00156022" w:rsidRPr="006F6BAA" w:rsidRDefault="00E10E80" w:rsidP="00E41D3D">
            <w:pPr>
              <w:rPr>
                <w:sz w:val="24"/>
                <w:szCs w:val="24"/>
              </w:rPr>
            </w:pPr>
            <w:r w:rsidRPr="006F6BAA">
              <w:rPr>
                <w:sz w:val="24"/>
                <w:szCs w:val="24"/>
              </w:rPr>
              <w:t>Deadline for submitting the</w:t>
            </w:r>
            <w:r w:rsidR="00156022" w:rsidRPr="006F6BAA">
              <w:rPr>
                <w:sz w:val="24"/>
                <w:szCs w:val="24"/>
              </w:rPr>
              <w:t xml:space="preserve"> applications</w:t>
            </w:r>
          </w:p>
        </w:tc>
        <w:tc>
          <w:tcPr>
            <w:tcW w:w="4252" w:type="dxa"/>
          </w:tcPr>
          <w:p w:rsidR="00156022" w:rsidRPr="006F6BAA" w:rsidRDefault="00B203F2" w:rsidP="004A6B87">
            <w:pPr>
              <w:ind w:left="-85"/>
              <w:jc w:val="both"/>
              <w:rPr>
                <w:sz w:val="24"/>
                <w:szCs w:val="24"/>
              </w:rPr>
            </w:pPr>
            <w:r w:rsidRPr="006F6BAA">
              <w:rPr>
                <w:sz w:val="24"/>
                <w:szCs w:val="24"/>
              </w:rPr>
              <w:t>Wednesday, </w:t>
            </w:r>
            <w:r w:rsidR="008B6097" w:rsidRPr="006F6BAA">
              <w:rPr>
                <w:sz w:val="24"/>
                <w:szCs w:val="24"/>
              </w:rPr>
              <w:t>9 August</w:t>
            </w:r>
            <w:r w:rsidRPr="006F6BAA">
              <w:rPr>
                <w:sz w:val="24"/>
                <w:szCs w:val="24"/>
              </w:rPr>
              <w:t xml:space="preserve"> </w:t>
            </w:r>
            <w:r w:rsidR="00745C24" w:rsidRPr="006F6BAA">
              <w:rPr>
                <w:sz w:val="24"/>
                <w:szCs w:val="24"/>
              </w:rPr>
              <w:t>201</w:t>
            </w:r>
            <w:r w:rsidR="00355F2C" w:rsidRPr="006F6BAA">
              <w:rPr>
                <w:sz w:val="24"/>
                <w:szCs w:val="24"/>
              </w:rPr>
              <w:t>7</w:t>
            </w:r>
          </w:p>
        </w:tc>
      </w:tr>
      <w:tr w:rsidR="006345A2" w:rsidRPr="006F6BAA" w:rsidTr="00E41D3D">
        <w:trPr>
          <w:jc w:val="center"/>
        </w:trPr>
        <w:tc>
          <w:tcPr>
            <w:tcW w:w="4536" w:type="dxa"/>
          </w:tcPr>
          <w:p w:rsidR="00156022" w:rsidRPr="006F6BAA" w:rsidRDefault="006854FB" w:rsidP="00E41D3D">
            <w:pPr>
              <w:rPr>
                <w:sz w:val="24"/>
                <w:szCs w:val="24"/>
              </w:rPr>
            </w:pPr>
            <w:r w:rsidRPr="006F6BAA">
              <w:rPr>
                <w:sz w:val="24"/>
                <w:szCs w:val="24"/>
              </w:rPr>
              <w:t>Information to</w:t>
            </w:r>
            <w:r w:rsidR="00156022" w:rsidRPr="006F6BAA">
              <w:rPr>
                <w:sz w:val="24"/>
                <w:szCs w:val="24"/>
              </w:rPr>
              <w:t xml:space="preserve"> the applicants</w:t>
            </w:r>
          </w:p>
        </w:tc>
        <w:tc>
          <w:tcPr>
            <w:tcW w:w="4252" w:type="dxa"/>
          </w:tcPr>
          <w:p w:rsidR="00156022" w:rsidRPr="006F6BAA" w:rsidRDefault="00B203F2" w:rsidP="004A6B87">
            <w:pPr>
              <w:ind w:left="-85"/>
              <w:jc w:val="both"/>
              <w:rPr>
                <w:sz w:val="24"/>
                <w:szCs w:val="24"/>
              </w:rPr>
            </w:pPr>
            <w:r w:rsidRPr="006F6BAA">
              <w:rPr>
                <w:sz w:val="24"/>
                <w:szCs w:val="24"/>
              </w:rPr>
              <w:t xml:space="preserve">End of </w:t>
            </w:r>
            <w:r w:rsidR="00745C24" w:rsidRPr="006F6BAA">
              <w:rPr>
                <w:sz w:val="24"/>
                <w:szCs w:val="24"/>
              </w:rPr>
              <w:t>October 201</w:t>
            </w:r>
            <w:r w:rsidR="006D171E" w:rsidRPr="006F6BAA">
              <w:rPr>
                <w:sz w:val="24"/>
                <w:szCs w:val="24"/>
              </w:rPr>
              <w:t>7</w:t>
            </w:r>
            <w:r w:rsidR="00B03C8C" w:rsidRPr="006F6BAA">
              <w:rPr>
                <w:rStyle w:val="FootnoteReference"/>
                <w:sz w:val="24"/>
                <w:szCs w:val="24"/>
              </w:rPr>
              <w:footnoteReference w:id="21"/>
            </w:r>
          </w:p>
        </w:tc>
      </w:tr>
      <w:tr w:rsidR="006345A2" w:rsidRPr="006F6BAA" w:rsidTr="00E41D3D">
        <w:trPr>
          <w:jc w:val="center"/>
        </w:trPr>
        <w:tc>
          <w:tcPr>
            <w:tcW w:w="4536" w:type="dxa"/>
          </w:tcPr>
          <w:p w:rsidR="00156022" w:rsidRPr="006F6BAA" w:rsidRDefault="00156022" w:rsidP="00E41D3D">
            <w:pPr>
              <w:rPr>
                <w:sz w:val="24"/>
                <w:szCs w:val="24"/>
              </w:rPr>
            </w:pPr>
            <w:r w:rsidRPr="006F6BAA">
              <w:rPr>
                <w:sz w:val="24"/>
                <w:szCs w:val="24"/>
              </w:rPr>
              <w:t xml:space="preserve">Signature of </w:t>
            </w:r>
            <w:r w:rsidR="00BA0472" w:rsidRPr="006F6BAA">
              <w:rPr>
                <w:sz w:val="24"/>
                <w:szCs w:val="24"/>
              </w:rPr>
              <w:t xml:space="preserve">first </w:t>
            </w:r>
            <w:r w:rsidRPr="006F6BAA">
              <w:rPr>
                <w:sz w:val="24"/>
                <w:szCs w:val="24"/>
              </w:rPr>
              <w:t>grant agreements</w:t>
            </w:r>
          </w:p>
        </w:tc>
        <w:tc>
          <w:tcPr>
            <w:tcW w:w="4252" w:type="dxa"/>
          </w:tcPr>
          <w:p w:rsidR="00156022" w:rsidRPr="006F6BAA" w:rsidRDefault="00745C24" w:rsidP="004A6B87">
            <w:pPr>
              <w:ind w:left="-85"/>
              <w:jc w:val="both"/>
              <w:rPr>
                <w:sz w:val="24"/>
                <w:szCs w:val="24"/>
              </w:rPr>
            </w:pPr>
            <w:r w:rsidRPr="006F6BAA">
              <w:rPr>
                <w:sz w:val="24"/>
                <w:szCs w:val="24"/>
              </w:rPr>
              <w:t>November </w:t>
            </w:r>
            <w:r w:rsidR="00156022" w:rsidRPr="006F6BAA">
              <w:rPr>
                <w:sz w:val="24"/>
                <w:szCs w:val="24"/>
              </w:rPr>
              <w:t>201</w:t>
            </w:r>
            <w:r w:rsidR="006D171E" w:rsidRPr="006F6BAA">
              <w:rPr>
                <w:sz w:val="24"/>
                <w:szCs w:val="24"/>
              </w:rPr>
              <w:t>7</w:t>
            </w:r>
          </w:p>
        </w:tc>
      </w:tr>
      <w:tr w:rsidR="006345A2" w:rsidRPr="006F6BAA" w:rsidTr="00E41D3D">
        <w:trPr>
          <w:jc w:val="center"/>
        </w:trPr>
        <w:tc>
          <w:tcPr>
            <w:tcW w:w="4536" w:type="dxa"/>
          </w:tcPr>
          <w:p w:rsidR="00201E72" w:rsidRPr="006F6BAA" w:rsidRDefault="00127BFB" w:rsidP="00E41D3D">
            <w:pPr>
              <w:rPr>
                <w:sz w:val="24"/>
                <w:szCs w:val="24"/>
              </w:rPr>
            </w:pPr>
            <w:r w:rsidRPr="006F6BAA">
              <w:rPr>
                <w:sz w:val="24"/>
                <w:szCs w:val="24"/>
              </w:rPr>
              <w:t>Earliest possible date to start an action</w:t>
            </w:r>
          </w:p>
        </w:tc>
        <w:tc>
          <w:tcPr>
            <w:tcW w:w="4252" w:type="dxa"/>
          </w:tcPr>
          <w:p w:rsidR="00201E72" w:rsidRPr="006F6BAA" w:rsidRDefault="00745C24" w:rsidP="004A6B87">
            <w:pPr>
              <w:ind w:left="-85"/>
              <w:jc w:val="both"/>
              <w:rPr>
                <w:sz w:val="24"/>
                <w:szCs w:val="24"/>
              </w:rPr>
            </w:pPr>
            <w:r w:rsidRPr="006F6BAA">
              <w:rPr>
                <w:sz w:val="24"/>
                <w:szCs w:val="24"/>
              </w:rPr>
              <w:t>1 December </w:t>
            </w:r>
            <w:r w:rsidR="00127BFB" w:rsidRPr="006F6BAA">
              <w:rPr>
                <w:sz w:val="24"/>
                <w:szCs w:val="24"/>
              </w:rPr>
              <w:t>201</w:t>
            </w:r>
            <w:r w:rsidR="006D171E" w:rsidRPr="006F6BAA">
              <w:rPr>
                <w:sz w:val="24"/>
                <w:szCs w:val="24"/>
              </w:rPr>
              <w:t>7</w:t>
            </w:r>
            <w:r w:rsidR="00E34A39" w:rsidRPr="006F6BAA">
              <w:rPr>
                <w:rStyle w:val="FootnoteReference"/>
                <w:sz w:val="24"/>
                <w:szCs w:val="24"/>
              </w:rPr>
              <w:footnoteReference w:id="22"/>
            </w:r>
          </w:p>
        </w:tc>
      </w:tr>
      <w:tr w:rsidR="00127BFB" w:rsidRPr="006F6BAA" w:rsidTr="00E41D3D">
        <w:trPr>
          <w:jc w:val="center"/>
        </w:trPr>
        <w:tc>
          <w:tcPr>
            <w:tcW w:w="4536" w:type="dxa"/>
          </w:tcPr>
          <w:p w:rsidR="00127BFB" w:rsidRPr="006F6BAA" w:rsidRDefault="00127BFB" w:rsidP="00E41D3D">
            <w:pPr>
              <w:rPr>
                <w:sz w:val="24"/>
                <w:szCs w:val="24"/>
              </w:rPr>
            </w:pPr>
            <w:r w:rsidRPr="006F6BAA">
              <w:rPr>
                <w:sz w:val="24"/>
                <w:szCs w:val="24"/>
              </w:rPr>
              <w:t>Latest date to finish an action</w:t>
            </w:r>
          </w:p>
        </w:tc>
        <w:tc>
          <w:tcPr>
            <w:tcW w:w="4252" w:type="dxa"/>
          </w:tcPr>
          <w:p w:rsidR="00127BFB" w:rsidRPr="006F6BAA" w:rsidRDefault="004A5A01" w:rsidP="004A6B87">
            <w:pPr>
              <w:ind w:left="-85"/>
              <w:jc w:val="both"/>
              <w:rPr>
                <w:sz w:val="24"/>
                <w:szCs w:val="24"/>
              </w:rPr>
            </w:pPr>
            <w:r w:rsidRPr="006F6BAA">
              <w:rPr>
                <w:sz w:val="24"/>
                <w:szCs w:val="24"/>
              </w:rPr>
              <w:t>1 July</w:t>
            </w:r>
            <w:r w:rsidR="00745C24" w:rsidRPr="006F6BAA">
              <w:rPr>
                <w:sz w:val="24"/>
                <w:szCs w:val="24"/>
              </w:rPr>
              <w:t> </w:t>
            </w:r>
            <w:r w:rsidR="00127BFB" w:rsidRPr="006F6BAA">
              <w:rPr>
                <w:sz w:val="24"/>
                <w:szCs w:val="24"/>
              </w:rPr>
              <w:t>201</w:t>
            </w:r>
            <w:r w:rsidR="00B678A5" w:rsidRPr="006F6BAA">
              <w:rPr>
                <w:sz w:val="24"/>
                <w:szCs w:val="24"/>
              </w:rPr>
              <w:t>9</w:t>
            </w:r>
            <w:r w:rsidR="008D126B" w:rsidRPr="006F6BAA">
              <w:rPr>
                <w:rStyle w:val="FootnoteReference"/>
                <w:sz w:val="24"/>
                <w:szCs w:val="24"/>
              </w:rPr>
              <w:footnoteReference w:id="23"/>
            </w:r>
          </w:p>
        </w:tc>
      </w:tr>
    </w:tbl>
    <w:p w:rsidR="00845774" w:rsidRPr="006F6BAA" w:rsidRDefault="00845774" w:rsidP="009C7533">
      <w:pPr>
        <w:autoSpaceDE w:val="0"/>
        <w:autoSpaceDN w:val="0"/>
        <w:adjustRightInd w:val="0"/>
        <w:jc w:val="both"/>
        <w:rPr>
          <w:sz w:val="24"/>
          <w:szCs w:val="24"/>
        </w:rPr>
      </w:pPr>
      <w:bookmarkStart w:id="214" w:name="_Toc388000957"/>
      <w:bookmarkStart w:id="215" w:name="_Toc388001255"/>
      <w:bookmarkEnd w:id="214"/>
      <w:bookmarkEnd w:id="215"/>
    </w:p>
    <w:p w:rsidR="004A10C3" w:rsidRPr="006F6BAA" w:rsidRDefault="00F27EBF" w:rsidP="00F27EBF">
      <w:pPr>
        <w:pStyle w:val="Heading1"/>
        <w:rPr>
          <w:sz w:val="24"/>
          <w:szCs w:val="24"/>
        </w:rPr>
      </w:pPr>
      <w:bookmarkStart w:id="216" w:name="_Toc423015989"/>
      <w:bookmarkStart w:id="217" w:name="_Toc423016108"/>
      <w:bookmarkStart w:id="218" w:name="_Toc446498621"/>
      <w:bookmarkStart w:id="219" w:name="_Toc481491540"/>
      <w:bookmarkStart w:id="220" w:name="_Toc484788375"/>
      <w:r w:rsidRPr="006F6BAA">
        <w:rPr>
          <w:sz w:val="24"/>
          <w:szCs w:val="24"/>
        </w:rPr>
        <w:t>5.</w:t>
      </w:r>
      <w:r w:rsidRPr="006F6BAA">
        <w:rPr>
          <w:sz w:val="24"/>
          <w:szCs w:val="24"/>
        </w:rPr>
        <w:tab/>
        <w:t>PRE-</w:t>
      </w:r>
      <w:r w:rsidR="004A10C3" w:rsidRPr="006F6BAA">
        <w:rPr>
          <w:sz w:val="24"/>
          <w:szCs w:val="24"/>
        </w:rPr>
        <w:t>conditions</w:t>
      </w:r>
      <w:bookmarkEnd w:id="216"/>
      <w:bookmarkEnd w:id="217"/>
      <w:bookmarkEnd w:id="218"/>
      <w:bookmarkEnd w:id="219"/>
      <w:bookmarkEnd w:id="220"/>
    </w:p>
    <w:p w:rsidR="00F27EBF" w:rsidRPr="006F6BAA" w:rsidRDefault="00F27EBF" w:rsidP="00F27EBF">
      <w:pPr>
        <w:rPr>
          <w:sz w:val="24"/>
          <w:szCs w:val="24"/>
        </w:rPr>
      </w:pPr>
    </w:p>
    <w:p w:rsidR="00A573D5" w:rsidRPr="006F6BAA" w:rsidRDefault="00A573D5" w:rsidP="00A573D5">
      <w:pPr>
        <w:autoSpaceDE w:val="0"/>
        <w:autoSpaceDN w:val="0"/>
        <w:adjustRightInd w:val="0"/>
        <w:jc w:val="both"/>
        <w:rPr>
          <w:sz w:val="24"/>
          <w:szCs w:val="24"/>
        </w:rPr>
      </w:pPr>
      <w:r w:rsidRPr="006F6BAA">
        <w:rPr>
          <w:sz w:val="24"/>
          <w:szCs w:val="24"/>
        </w:rPr>
        <w:t xml:space="preserve">The funding will be made available subject to the following </w:t>
      </w:r>
      <w:r w:rsidR="00D363D8" w:rsidRPr="006F6BAA">
        <w:rPr>
          <w:sz w:val="24"/>
          <w:szCs w:val="24"/>
        </w:rPr>
        <w:t>pre-</w:t>
      </w:r>
      <w:r w:rsidRPr="006F6BAA">
        <w:rPr>
          <w:sz w:val="24"/>
          <w:szCs w:val="24"/>
        </w:rPr>
        <w:t>conditions:</w:t>
      </w:r>
    </w:p>
    <w:p w:rsidR="00976CFA" w:rsidRPr="006F6BAA" w:rsidRDefault="00976CFA" w:rsidP="00A573D5">
      <w:pPr>
        <w:autoSpaceDE w:val="0"/>
        <w:autoSpaceDN w:val="0"/>
        <w:adjustRightInd w:val="0"/>
        <w:jc w:val="both"/>
        <w:rPr>
          <w:sz w:val="24"/>
          <w:szCs w:val="24"/>
        </w:rPr>
      </w:pPr>
    </w:p>
    <w:p w:rsidR="00A573D5" w:rsidRPr="006F6BAA" w:rsidRDefault="00A573D5" w:rsidP="00DA7CA1">
      <w:pPr>
        <w:pStyle w:val="Default"/>
        <w:numPr>
          <w:ilvl w:val="0"/>
          <w:numId w:val="20"/>
        </w:numPr>
        <w:jc w:val="both"/>
        <w:rPr>
          <w:color w:val="auto"/>
          <w:lang w:eastAsia="en-GB"/>
        </w:rPr>
      </w:pPr>
      <w:r w:rsidRPr="006F6BAA">
        <w:rPr>
          <w:color w:val="auto"/>
          <w:lang w:eastAsia="en-GB"/>
        </w:rPr>
        <w:t xml:space="preserve">The overall budget in </w:t>
      </w:r>
      <w:r w:rsidR="0092314F" w:rsidRPr="006F6BAA">
        <w:rPr>
          <w:color w:val="auto"/>
          <w:lang w:eastAsia="en-GB"/>
        </w:rPr>
        <w:t>2017</w:t>
      </w:r>
      <w:r w:rsidRPr="006F6BAA">
        <w:rPr>
          <w:color w:val="auto"/>
          <w:lang w:eastAsia="en-GB"/>
        </w:rPr>
        <w:t xml:space="preserve"> </w:t>
      </w:r>
      <w:r w:rsidR="009E2E23" w:rsidRPr="006F6BAA">
        <w:rPr>
          <w:color w:val="auto"/>
          <w:lang w:eastAsia="en-GB"/>
        </w:rPr>
        <w:t>for Law</w:t>
      </w:r>
      <w:r w:rsidRPr="006F6BAA">
        <w:rPr>
          <w:color w:val="auto"/>
          <w:lang w:eastAsia="en-GB"/>
        </w:rPr>
        <w:t xml:space="preserve"> Training and Studies amounts to EUR</w:t>
      </w:r>
      <w:r w:rsidR="00C65A8D" w:rsidRPr="006F6BAA">
        <w:rPr>
          <w:color w:val="auto"/>
          <w:lang w:eastAsia="en-GB"/>
        </w:rPr>
        <w:t> </w:t>
      </w:r>
      <w:r w:rsidR="00C120C8" w:rsidRPr="006F6BAA">
        <w:rPr>
          <w:color w:val="auto"/>
          <w:lang w:eastAsia="en-GB"/>
        </w:rPr>
        <w:t xml:space="preserve">500 </w:t>
      </w:r>
      <w:r w:rsidRPr="006F6BAA">
        <w:rPr>
          <w:color w:val="auto"/>
          <w:lang w:eastAsia="en-GB"/>
        </w:rPr>
        <w:t>000;</w:t>
      </w:r>
    </w:p>
    <w:p w:rsidR="00A573D5" w:rsidRPr="006F6BAA" w:rsidRDefault="00A573D5" w:rsidP="00DA7CA1">
      <w:pPr>
        <w:pStyle w:val="ListParagraph"/>
        <w:numPr>
          <w:ilvl w:val="0"/>
          <w:numId w:val="20"/>
        </w:numPr>
        <w:autoSpaceDE w:val="0"/>
        <w:autoSpaceDN w:val="0"/>
        <w:adjustRightInd w:val="0"/>
        <w:jc w:val="both"/>
        <w:rPr>
          <w:sz w:val="24"/>
          <w:szCs w:val="24"/>
        </w:rPr>
      </w:pPr>
      <w:r w:rsidRPr="006F6BAA">
        <w:rPr>
          <w:sz w:val="24"/>
          <w:szCs w:val="24"/>
        </w:rPr>
        <w:t xml:space="preserve">The </w:t>
      </w:r>
      <w:r w:rsidR="00BB21CD" w:rsidRPr="006F6BAA">
        <w:rPr>
          <w:sz w:val="24"/>
          <w:szCs w:val="24"/>
        </w:rPr>
        <w:t>minimum</w:t>
      </w:r>
      <w:r w:rsidRPr="006F6BAA">
        <w:rPr>
          <w:sz w:val="24"/>
          <w:szCs w:val="24"/>
        </w:rPr>
        <w:t xml:space="preserve"> threshold for </w:t>
      </w:r>
      <w:r w:rsidR="001B0CCE" w:rsidRPr="006F6BAA">
        <w:rPr>
          <w:b/>
          <w:sz w:val="24"/>
          <w:szCs w:val="24"/>
        </w:rPr>
        <w:t xml:space="preserve">the </w:t>
      </w:r>
      <w:r w:rsidR="00194FB0" w:rsidRPr="006F6BAA">
        <w:rPr>
          <w:b/>
          <w:sz w:val="24"/>
          <w:szCs w:val="24"/>
        </w:rPr>
        <w:t xml:space="preserve">total </w:t>
      </w:r>
      <w:r w:rsidR="001B0CCE" w:rsidRPr="006F6BAA">
        <w:rPr>
          <w:b/>
          <w:sz w:val="24"/>
          <w:szCs w:val="24"/>
        </w:rPr>
        <w:t xml:space="preserve">budget of </w:t>
      </w:r>
      <w:r w:rsidRPr="006F6BAA">
        <w:rPr>
          <w:b/>
          <w:sz w:val="24"/>
          <w:szCs w:val="24"/>
        </w:rPr>
        <w:t>an action</w:t>
      </w:r>
      <w:r w:rsidRPr="006F6BAA">
        <w:rPr>
          <w:sz w:val="24"/>
          <w:szCs w:val="24"/>
        </w:rPr>
        <w:t xml:space="preserve"> submitted in</w:t>
      </w:r>
      <w:r w:rsidR="000A36A8" w:rsidRPr="006F6BAA">
        <w:rPr>
          <w:sz w:val="24"/>
          <w:szCs w:val="24"/>
        </w:rPr>
        <w:t xml:space="preserve"> an application has been set at</w:t>
      </w:r>
      <w:r w:rsidRPr="006F6BAA">
        <w:rPr>
          <w:sz w:val="24"/>
          <w:szCs w:val="24"/>
        </w:rPr>
        <w:t xml:space="preserve"> EUR </w:t>
      </w:r>
      <w:r w:rsidR="002A301C" w:rsidRPr="006F6BAA">
        <w:rPr>
          <w:sz w:val="24"/>
          <w:szCs w:val="24"/>
        </w:rPr>
        <w:t>4</w:t>
      </w:r>
      <w:r w:rsidRPr="006F6BAA">
        <w:rPr>
          <w:sz w:val="24"/>
          <w:szCs w:val="24"/>
        </w:rPr>
        <w:t>0</w:t>
      </w:r>
      <w:r w:rsidR="00C65A8D" w:rsidRPr="006F6BAA">
        <w:rPr>
          <w:sz w:val="24"/>
          <w:szCs w:val="24"/>
        </w:rPr>
        <w:t xml:space="preserve"> </w:t>
      </w:r>
      <w:r w:rsidRPr="006F6BAA">
        <w:rPr>
          <w:sz w:val="24"/>
          <w:szCs w:val="24"/>
        </w:rPr>
        <w:t>000</w:t>
      </w:r>
      <w:r w:rsidR="00376098" w:rsidRPr="006F6BAA">
        <w:rPr>
          <w:sz w:val="24"/>
          <w:szCs w:val="24"/>
        </w:rPr>
        <w:t xml:space="preserve">. </w:t>
      </w:r>
      <w:r w:rsidR="0037156E" w:rsidRPr="006F6BAA">
        <w:rPr>
          <w:sz w:val="24"/>
          <w:szCs w:val="24"/>
        </w:rPr>
        <w:t>The application will be discarded if the budget</w:t>
      </w:r>
      <w:r w:rsidR="006D526D" w:rsidRPr="006F6BAA">
        <w:rPr>
          <w:sz w:val="24"/>
          <w:szCs w:val="24"/>
        </w:rPr>
        <w:t xml:space="preserve"> </w:t>
      </w:r>
      <w:r w:rsidR="00232D69" w:rsidRPr="006F6BAA">
        <w:rPr>
          <w:sz w:val="24"/>
          <w:szCs w:val="24"/>
        </w:rPr>
        <w:t>of the action</w:t>
      </w:r>
      <w:r w:rsidR="0037156E" w:rsidRPr="006F6BAA">
        <w:rPr>
          <w:sz w:val="24"/>
          <w:szCs w:val="24"/>
        </w:rPr>
        <w:t xml:space="preserve"> is lower than EUR 40</w:t>
      </w:r>
      <w:r w:rsidR="00C65A8D" w:rsidRPr="006F6BAA">
        <w:rPr>
          <w:sz w:val="24"/>
          <w:szCs w:val="24"/>
        </w:rPr>
        <w:t xml:space="preserve"> </w:t>
      </w:r>
      <w:r w:rsidR="00122CC1" w:rsidRPr="006F6BAA">
        <w:rPr>
          <w:sz w:val="24"/>
          <w:szCs w:val="24"/>
        </w:rPr>
        <w:t>000</w:t>
      </w:r>
      <w:r w:rsidR="00DF0CF6" w:rsidRPr="006F6BAA">
        <w:rPr>
          <w:sz w:val="24"/>
          <w:szCs w:val="24"/>
        </w:rPr>
        <w:t>;</w:t>
      </w:r>
    </w:p>
    <w:p w:rsidR="004A10C3" w:rsidRPr="006F6BAA" w:rsidRDefault="00A573D5" w:rsidP="00DA7CA1">
      <w:pPr>
        <w:pStyle w:val="ListParagraph"/>
        <w:numPr>
          <w:ilvl w:val="0"/>
          <w:numId w:val="20"/>
        </w:numPr>
        <w:autoSpaceDE w:val="0"/>
        <w:autoSpaceDN w:val="0"/>
        <w:adjustRightInd w:val="0"/>
        <w:jc w:val="both"/>
        <w:rPr>
          <w:color w:val="FF0000"/>
          <w:sz w:val="24"/>
          <w:szCs w:val="24"/>
        </w:rPr>
      </w:pPr>
      <w:r w:rsidRPr="006F6BAA">
        <w:rPr>
          <w:sz w:val="24"/>
          <w:szCs w:val="24"/>
        </w:rPr>
        <w:t xml:space="preserve">The Commission will award a grant to the successful applicants for the implementation of an action. This grant will not exceed 80% of the total eligible costs. </w:t>
      </w:r>
      <w:r w:rsidR="004A10C3" w:rsidRPr="006F6BAA">
        <w:rPr>
          <w:sz w:val="24"/>
          <w:szCs w:val="24"/>
        </w:rPr>
        <w:t xml:space="preserve">The eligible costs are listed in Article 6 of the Grant Agreement and guidance is given in the "guidelines for the </w:t>
      </w:r>
      <w:r w:rsidR="00FB57B8">
        <w:rPr>
          <w:sz w:val="24"/>
          <w:szCs w:val="24"/>
        </w:rPr>
        <w:t>application form</w:t>
      </w:r>
      <w:r w:rsidR="004A10C3" w:rsidRPr="006F6BAA">
        <w:rPr>
          <w:sz w:val="24"/>
          <w:szCs w:val="24"/>
        </w:rPr>
        <w:t xml:space="preserve">", which can be downloaded from the Commission’s website. Applicants are advised to carefully examine the Guidelines before filling in the </w:t>
      </w:r>
      <w:r w:rsidR="00FB57B8">
        <w:rPr>
          <w:sz w:val="24"/>
          <w:szCs w:val="24"/>
        </w:rPr>
        <w:t>application form</w:t>
      </w:r>
      <w:r w:rsidR="004A10C3" w:rsidRPr="006F6BAA">
        <w:rPr>
          <w:sz w:val="24"/>
          <w:szCs w:val="24"/>
        </w:rPr>
        <w:t>;</w:t>
      </w:r>
    </w:p>
    <w:p w:rsidR="00A573D5" w:rsidRPr="006F6BAA" w:rsidRDefault="00A573D5" w:rsidP="00DA7CA1">
      <w:pPr>
        <w:pStyle w:val="ListParagraph"/>
        <w:numPr>
          <w:ilvl w:val="0"/>
          <w:numId w:val="20"/>
        </w:numPr>
        <w:autoSpaceDE w:val="0"/>
        <w:autoSpaceDN w:val="0"/>
        <w:adjustRightInd w:val="0"/>
        <w:jc w:val="both"/>
        <w:rPr>
          <w:sz w:val="24"/>
          <w:szCs w:val="24"/>
        </w:rPr>
      </w:pPr>
      <w:r w:rsidRPr="006F6BAA">
        <w:rPr>
          <w:sz w:val="24"/>
          <w:szCs w:val="24"/>
        </w:rPr>
        <w:t xml:space="preserve">In exceptional and duly justified cases, the financial support for an action may be increased to a maximum of 90% of the eligible costs. The criteria used to determine whether an action satisfies these conditions are set out in </w:t>
      </w:r>
      <w:r w:rsidR="00DD2CBA" w:rsidRPr="006F6BAA">
        <w:rPr>
          <w:sz w:val="24"/>
          <w:szCs w:val="24"/>
        </w:rPr>
        <w:t>point 7</w:t>
      </w:r>
      <w:r w:rsidRPr="006F6BAA">
        <w:rPr>
          <w:sz w:val="24"/>
          <w:szCs w:val="24"/>
        </w:rPr>
        <w:t>.6;</w:t>
      </w:r>
    </w:p>
    <w:p w:rsidR="00A573D5" w:rsidRPr="006F6BAA" w:rsidRDefault="00A573D5" w:rsidP="00DA7CA1">
      <w:pPr>
        <w:pStyle w:val="ListParagraph"/>
        <w:numPr>
          <w:ilvl w:val="0"/>
          <w:numId w:val="20"/>
        </w:numPr>
        <w:autoSpaceDE w:val="0"/>
        <w:autoSpaceDN w:val="0"/>
        <w:adjustRightInd w:val="0"/>
        <w:jc w:val="both"/>
        <w:rPr>
          <w:sz w:val="24"/>
          <w:szCs w:val="24"/>
        </w:rPr>
      </w:pPr>
      <w:r w:rsidRPr="006F6BAA">
        <w:rPr>
          <w:sz w:val="24"/>
          <w:szCs w:val="24"/>
        </w:rPr>
        <w:t>The applicant must indicate the source of funding for the costs of the action th</w:t>
      </w:r>
      <w:r w:rsidR="00CE42D0" w:rsidRPr="006F6BAA">
        <w:rPr>
          <w:sz w:val="24"/>
          <w:szCs w:val="24"/>
        </w:rPr>
        <w:t>at are not covered by the grant.</w:t>
      </w:r>
      <w:r w:rsidR="006259A6" w:rsidRPr="006F6BAA">
        <w:rPr>
          <w:sz w:val="24"/>
          <w:szCs w:val="24"/>
        </w:rPr>
        <w:t xml:space="preserve"> </w:t>
      </w:r>
      <w:r w:rsidR="00CE42D0" w:rsidRPr="006F6BAA">
        <w:rPr>
          <w:sz w:val="24"/>
          <w:szCs w:val="24"/>
        </w:rPr>
        <w:t xml:space="preserve">The co-financing may take the form of the beneficiary's own resources (applicant’s contribution), income generated by the action (direct receipts from the action) and financial contributions from third parties (external </w:t>
      </w:r>
      <w:r w:rsidR="00551C76" w:rsidRPr="006F6BAA">
        <w:rPr>
          <w:sz w:val="24"/>
          <w:szCs w:val="24"/>
        </w:rPr>
        <w:t>contributions);</w:t>
      </w:r>
    </w:p>
    <w:p w:rsidR="00A573D5" w:rsidRPr="006F6BAA" w:rsidRDefault="00A573D5" w:rsidP="00DA7CA1">
      <w:pPr>
        <w:pStyle w:val="ListParagraph"/>
        <w:numPr>
          <w:ilvl w:val="0"/>
          <w:numId w:val="20"/>
        </w:numPr>
        <w:autoSpaceDE w:val="0"/>
        <w:autoSpaceDN w:val="0"/>
        <w:adjustRightInd w:val="0"/>
        <w:jc w:val="both"/>
        <w:rPr>
          <w:sz w:val="24"/>
          <w:szCs w:val="24"/>
        </w:rPr>
      </w:pPr>
      <w:r w:rsidRPr="006F6BAA">
        <w:rPr>
          <w:sz w:val="24"/>
          <w:szCs w:val="24"/>
        </w:rPr>
        <w:t>The Commission reserves the right to award a grant that is lower than the amount requested by the applicant, if the costs of the action are considered to be too high, not justified or ineligible;</w:t>
      </w:r>
    </w:p>
    <w:p w:rsidR="003859CC" w:rsidRPr="006F6BAA" w:rsidRDefault="00484871" w:rsidP="00DA7CA1">
      <w:pPr>
        <w:pStyle w:val="ListParagraph"/>
        <w:numPr>
          <w:ilvl w:val="0"/>
          <w:numId w:val="20"/>
        </w:numPr>
        <w:autoSpaceDE w:val="0"/>
        <w:autoSpaceDN w:val="0"/>
        <w:adjustRightInd w:val="0"/>
        <w:jc w:val="both"/>
        <w:rPr>
          <w:sz w:val="24"/>
          <w:szCs w:val="24"/>
        </w:rPr>
      </w:pPr>
      <w:r w:rsidRPr="006F6BAA">
        <w:rPr>
          <w:sz w:val="24"/>
          <w:szCs w:val="24"/>
        </w:rPr>
        <w:lastRenderedPageBreak/>
        <w:t>The Commission reserves the right n</w:t>
      </w:r>
      <w:r w:rsidR="003859CC" w:rsidRPr="006F6BAA">
        <w:rPr>
          <w:sz w:val="24"/>
          <w:szCs w:val="24"/>
        </w:rPr>
        <w:t>ot to award all available funds;</w:t>
      </w:r>
      <w:r w:rsidRPr="006F6BAA">
        <w:rPr>
          <w:sz w:val="24"/>
          <w:szCs w:val="24"/>
        </w:rPr>
        <w:t xml:space="preserve"> </w:t>
      </w:r>
    </w:p>
    <w:p w:rsidR="00A573D5" w:rsidRPr="006F6BAA" w:rsidRDefault="00A573D5" w:rsidP="00DA7CA1">
      <w:pPr>
        <w:pStyle w:val="ListParagraph"/>
        <w:numPr>
          <w:ilvl w:val="0"/>
          <w:numId w:val="20"/>
        </w:numPr>
        <w:autoSpaceDE w:val="0"/>
        <w:autoSpaceDN w:val="0"/>
        <w:adjustRightInd w:val="0"/>
        <w:jc w:val="both"/>
        <w:rPr>
          <w:sz w:val="24"/>
          <w:szCs w:val="24"/>
        </w:rPr>
      </w:pPr>
      <w:r w:rsidRPr="006F6BAA">
        <w:rPr>
          <w:sz w:val="24"/>
          <w:szCs w:val="24"/>
        </w:rPr>
        <w:t>Expenditures incurred outside the period specified in the grant agreement are not eligible and will not be taken into consideration in the determination of</w:t>
      </w:r>
      <w:r w:rsidR="009C48C9" w:rsidRPr="006F6BAA">
        <w:rPr>
          <w:sz w:val="24"/>
          <w:szCs w:val="24"/>
        </w:rPr>
        <w:t xml:space="preserve"> the final payment of the grant;</w:t>
      </w:r>
    </w:p>
    <w:p w:rsidR="009C48C9" w:rsidRPr="006F6BAA" w:rsidRDefault="009C48C9" w:rsidP="00DA7CA1">
      <w:pPr>
        <w:pStyle w:val="ListParagraph"/>
        <w:numPr>
          <w:ilvl w:val="0"/>
          <w:numId w:val="20"/>
        </w:numPr>
        <w:autoSpaceDE w:val="0"/>
        <w:autoSpaceDN w:val="0"/>
        <w:adjustRightInd w:val="0"/>
        <w:jc w:val="both"/>
        <w:rPr>
          <w:sz w:val="24"/>
          <w:szCs w:val="24"/>
        </w:rPr>
      </w:pPr>
      <w:r w:rsidRPr="006F6BAA">
        <w:rPr>
          <w:sz w:val="24"/>
          <w:szCs w:val="24"/>
        </w:rPr>
        <w:t>The grant is given for a specific action and does not confer an obligation for the Commission to provide c</w:t>
      </w:r>
      <w:r w:rsidR="00B86414" w:rsidRPr="006F6BAA">
        <w:rPr>
          <w:sz w:val="24"/>
          <w:szCs w:val="24"/>
        </w:rPr>
        <w:t>o-financing in subsequent years;</w:t>
      </w:r>
    </w:p>
    <w:p w:rsidR="00B86414" w:rsidRPr="006F6BAA" w:rsidRDefault="00B86414" w:rsidP="00DA7CA1">
      <w:pPr>
        <w:pStyle w:val="ListParagraph"/>
        <w:numPr>
          <w:ilvl w:val="0"/>
          <w:numId w:val="20"/>
        </w:numPr>
        <w:autoSpaceDE w:val="0"/>
        <w:autoSpaceDN w:val="0"/>
        <w:adjustRightInd w:val="0"/>
        <w:jc w:val="both"/>
        <w:rPr>
          <w:sz w:val="24"/>
          <w:szCs w:val="24"/>
        </w:rPr>
      </w:pPr>
      <w:r w:rsidRPr="006F6BAA">
        <w:rPr>
          <w:sz w:val="24"/>
          <w:szCs w:val="24"/>
        </w:rPr>
        <w:t xml:space="preserve">The action has to start before the end of 2017 and shall not take more than 12 months for a conference and 18 months for a comparative law study/publication. The action must be ended by the closing date indicated in the grant agreement. An extension of the closing date will be given only in exceptional cases: the applicant should make sure that the action can be implemented within </w:t>
      </w:r>
      <w:r w:rsidR="009768CD" w:rsidRPr="006F6BAA">
        <w:rPr>
          <w:sz w:val="24"/>
          <w:szCs w:val="24"/>
        </w:rPr>
        <w:t>the specified timeframe.</w:t>
      </w:r>
    </w:p>
    <w:p w:rsidR="001A6880" w:rsidRPr="006F6BAA" w:rsidRDefault="001A6880" w:rsidP="005259CF">
      <w:pPr>
        <w:ind w:left="284" w:hanging="284"/>
        <w:jc w:val="both"/>
        <w:rPr>
          <w:sz w:val="24"/>
          <w:szCs w:val="24"/>
        </w:rPr>
      </w:pPr>
    </w:p>
    <w:p w:rsidR="00910D12" w:rsidRPr="006F6BAA" w:rsidRDefault="00FA4F9A" w:rsidP="00FA4F9A">
      <w:pPr>
        <w:pStyle w:val="Heading1"/>
        <w:rPr>
          <w:sz w:val="24"/>
          <w:szCs w:val="24"/>
        </w:rPr>
      </w:pPr>
      <w:bookmarkStart w:id="221" w:name="_Toc484788376"/>
      <w:r w:rsidRPr="006F6BAA">
        <w:rPr>
          <w:sz w:val="24"/>
          <w:szCs w:val="24"/>
        </w:rPr>
        <w:t>6.</w:t>
      </w:r>
      <w:r w:rsidRPr="006F6BAA">
        <w:rPr>
          <w:sz w:val="24"/>
          <w:szCs w:val="24"/>
        </w:rPr>
        <w:tab/>
      </w:r>
      <w:r w:rsidR="00910D12" w:rsidRPr="006F6BAA">
        <w:rPr>
          <w:sz w:val="24"/>
          <w:szCs w:val="24"/>
        </w:rPr>
        <w:t>Priority Topics</w:t>
      </w:r>
      <w:bookmarkEnd w:id="221"/>
    </w:p>
    <w:p w:rsidR="00910D12" w:rsidRPr="006F6BAA" w:rsidRDefault="00910D12" w:rsidP="009C7533">
      <w:pPr>
        <w:jc w:val="both"/>
        <w:rPr>
          <w:sz w:val="24"/>
          <w:szCs w:val="24"/>
        </w:rPr>
      </w:pPr>
    </w:p>
    <w:p w:rsidR="001A6880" w:rsidRPr="006F6BAA" w:rsidRDefault="001A6880" w:rsidP="009C7533">
      <w:pPr>
        <w:jc w:val="both"/>
        <w:rPr>
          <w:sz w:val="24"/>
          <w:szCs w:val="24"/>
        </w:rPr>
      </w:pPr>
      <w:r w:rsidRPr="006F6BAA">
        <w:rPr>
          <w:sz w:val="24"/>
          <w:szCs w:val="24"/>
        </w:rPr>
        <w:t>The priority topics for</w:t>
      </w:r>
      <w:r w:rsidR="00A000F1" w:rsidRPr="006F6BAA">
        <w:rPr>
          <w:sz w:val="24"/>
          <w:szCs w:val="24"/>
        </w:rPr>
        <w:t xml:space="preserve"> law</w:t>
      </w:r>
      <w:r w:rsidRPr="006F6BAA">
        <w:rPr>
          <w:sz w:val="24"/>
          <w:szCs w:val="24"/>
        </w:rPr>
        <w:t xml:space="preserve"> </w:t>
      </w:r>
      <w:r w:rsidR="009E5F04" w:rsidRPr="006F6BAA">
        <w:rPr>
          <w:sz w:val="24"/>
          <w:szCs w:val="24"/>
        </w:rPr>
        <w:t xml:space="preserve">conferences, seminars and </w:t>
      </w:r>
      <w:r w:rsidR="00FA4F9A" w:rsidRPr="006F6BAA">
        <w:rPr>
          <w:sz w:val="24"/>
          <w:szCs w:val="24"/>
        </w:rPr>
        <w:t>studies</w:t>
      </w:r>
      <w:r w:rsidR="009E5F04" w:rsidRPr="006F6BAA">
        <w:rPr>
          <w:sz w:val="24"/>
          <w:szCs w:val="24"/>
        </w:rPr>
        <w:t xml:space="preserve"> in </w:t>
      </w:r>
      <w:r w:rsidR="00ED2035" w:rsidRPr="006F6BAA">
        <w:rPr>
          <w:sz w:val="24"/>
          <w:szCs w:val="24"/>
        </w:rPr>
        <w:t>2017</w:t>
      </w:r>
      <w:r w:rsidRPr="006F6BAA">
        <w:rPr>
          <w:sz w:val="24"/>
          <w:szCs w:val="24"/>
        </w:rPr>
        <w:t xml:space="preserve"> are:</w:t>
      </w:r>
    </w:p>
    <w:p w:rsidR="00B54827" w:rsidRPr="006F6BAA" w:rsidRDefault="00B54827" w:rsidP="009C7533">
      <w:pPr>
        <w:jc w:val="both"/>
        <w:rPr>
          <w:sz w:val="24"/>
          <w:szCs w:val="24"/>
        </w:rPr>
      </w:pPr>
    </w:p>
    <w:p w:rsidR="00793E67" w:rsidRPr="006F6BAA" w:rsidRDefault="00B54827" w:rsidP="00DA7CA1">
      <w:pPr>
        <w:pStyle w:val="ListParagraph"/>
        <w:numPr>
          <w:ilvl w:val="0"/>
          <w:numId w:val="23"/>
        </w:numPr>
        <w:jc w:val="both"/>
        <w:rPr>
          <w:sz w:val="24"/>
          <w:szCs w:val="24"/>
        </w:rPr>
      </w:pPr>
      <w:r w:rsidRPr="006F6BAA">
        <w:rPr>
          <w:sz w:val="24"/>
          <w:szCs w:val="24"/>
        </w:rPr>
        <w:t>Future development of OLAF and other European bodies in charge with the protection of the financial interests of the EU</w:t>
      </w:r>
      <w:r w:rsidR="00F864A4" w:rsidRPr="006F6BAA">
        <w:rPr>
          <w:sz w:val="24"/>
          <w:szCs w:val="24"/>
        </w:rPr>
        <w:t>,</w:t>
      </w:r>
      <w:r w:rsidRPr="006F6BAA">
        <w:rPr>
          <w:sz w:val="24"/>
          <w:szCs w:val="24"/>
        </w:rPr>
        <w:t xml:space="preserve"> including</w:t>
      </w:r>
      <w:r w:rsidR="00793E67" w:rsidRPr="006F6BAA">
        <w:rPr>
          <w:sz w:val="24"/>
          <w:szCs w:val="24"/>
        </w:rPr>
        <w:t>:</w:t>
      </w:r>
    </w:p>
    <w:p w:rsidR="00793E67" w:rsidRPr="006F6BAA" w:rsidRDefault="00B54827" w:rsidP="00DA7CA1">
      <w:pPr>
        <w:pStyle w:val="ListParagraph"/>
        <w:numPr>
          <w:ilvl w:val="1"/>
          <w:numId w:val="23"/>
        </w:numPr>
        <w:jc w:val="both"/>
        <w:rPr>
          <w:sz w:val="24"/>
          <w:szCs w:val="24"/>
        </w:rPr>
      </w:pPr>
      <w:r w:rsidRPr="006F6BAA">
        <w:rPr>
          <w:sz w:val="24"/>
          <w:szCs w:val="24"/>
        </w:rPr>
        <w:t>the identification of new threats against the EU's financial interests (both revenues and expenditures</w:t>
      </w:r>
      <w:r w:rsidR="00793E67" w:rsidRPr="006F6BAA">
        <w:rPr>
          <w:sz w:val="24"/>
          <w:szCs w:val="24"/>
        </w:rPr>
        <w:t xml:space="preserve">) </w:t>
      </w:r>
      <w:r w:rsidR="00C56B7A" w:rsidRPr="006F6BAA">
        <w:rPr>
          <w:sz w:val="24"/>
          <w:szCs w:val="24"/>
        </w:rPr>
        <w:t xml:space="preserve">or </w:t>
      </w:r>
      <w:r w:rsidR="00793E67" w:rsidRPr="006F6BAA">
        <w:rPr>
          <w:sz w:val="24"/>
          <w:szCs w:val="24"/>
        </w:rPr>
        <w:t xml:space="preserve">as the result of new </w:t>
      </w:r>
      <w:r w:rsidR="00F864A4" w:rsidRPr="006F6BAA">
        <w:rPr>
          <w:sz w:val="24"/>
          <w:szCs w:val="24"/>
        </w:rPr>
        <w:t xml:space="preserve">(policy) </w:t>
      </w:r>
      <w:r w:rsidRPr="006F6BAA">
        <w:rPr>
          <w:sz w:val="24"/>
          <w:szCs w:val="24"/>
        </w:rPr>
        <w:t>developments</w:t>
      </w:r>
      <w:r w:rsidR="00793E67" w:rsidRPr="006F6BAA">
        <w:rPr>
          <w:sz w:val="24"/>
          <w:szCs w:val="24"/>
        </w:rPr>
        <w:t>;</w:t>
      </w:r>
    </w:p>
    <w:p w:rsidR="00FB146F" w:rsidRPr="006F6BAA" w:rsidRDefault="00F864A4" w:rsidP="00DA7CA1">
      <w:pPr>
        <w:pStyle w:val="ListParagraph"/>
        <w:numPr>
          <w:ilvl w:val="1"/>
          <w:numId w:val="23"/>
        </w:numPr>
        <w:rPr>
          <w:sz w:val="24"/>
          <w:szCs w:val="24"/>
        </w:rPr>
      </w:pPr>
      <w:r w:rsidRPr="006F6BAA">
        <w:rPr>
          <w:sz w:val="24"/>
          <w:szCs w:val="24"/>
        </w:rPr>
        <w:t>operational cooperation between OLAF, EUROJUST, EUROPOL and the future EPPO</w:t>
      </w:r>
      <w:r w:rsidR="00935AF5" w:rsidRPr="006F6BAA">
        <w:rPr>
          <w:sz w:val="24"/>
          <w:szCs w:val="24"/>
        </w:rPr>
        <w:t>, and between them and other partners</w:t>
      </w:r>
      <w:r w:rsidRPr="006F6BAA">
        <w:rPr>
          <w:sz w:val="24"/>
          <w:szCs w:val="24"/>
        </w:rPr>
        <w:t>;</w:t>
      </w:r>
    </w:p>
    <w:p w:rsidR="00160DFB" w:rsidRPr="006F6BAA" w:rsidRDefault="00FB146F" w:rsidP="00DA7CA1">
      <w:pPr>
        <w:pStyle w:val="ListParagraph"/>
        <w:numPr>
          <w:ilvl w:val="1"/>
          <w:numId w:val="23"/>
        </w:numPr>
        <w:rPr>
          <w:sz w:val="24"/>
          <w:szCs w:val="24"/>
        </w:rPr>
      </w:pPr>
      <w:proofErr w:type="gramStart"/>
      <w:r w:rsidRPr="006F6BAA">
        <w:rPr>
          <w:sz w:val="24"/>
          <w:szCs w:val="24"/>
        </w:rPr>
        <w:t>i</w:t>
      </w:r>
      <w:r w:rsidR="00F864A4" w:rsidRPr="006F6BAA">
        <w:rPr>
          <w:sz w:val="24"/>
          <w:szCs w:val="24"/>
        </w:rPr>
        <w:t>nvestigation</w:t>
      </w:r>
      <w:proofErr w:type="gramEnd"/>
      <w:r w:rsidR="00F864A4" w:rsidRPr="006F6BAA">
        <w:rPr>
          <w:sz w:val="24"/>
          <w:szCs w:val="24"/>
        </w:rPr>
        <w:t xml:space="preserve"> and prosecution of criminal and administrative offences under federal systems and potential obstacles to cooperation with the future EPPO.</w:t>
      </w:r>
    </w:p>
    <w:p w:rsidR="00160DFB" w:rsidRPr="006F6BAA" w:rsidRDefault="009E5F04" w:rsidP="00DA7CA1">
      <w:pPr>
        <w:pStyle w:val="ListParagraph"/>
        <w:numPr>
          <w:ilvl w:val="0"/>
          <w:numId w:val="23"/>
        </w:numPr>
        <w:rPr>
          <w:sz w:val="24"/>
          <w:szCs w:val="24"/>
        </w:rPr>
      </w:pPr>
      <w:r w:rsidRPr="006F6BAA">
        <w:rPr>
          <w:sz w:val="24"/>
          <w:szCs w:val="24"/>
        </w:rPr>
        <w:t xml:space="preserve">Gathering </w:t>
      </w:r>
      <w:r w:rsidR="006636DC" w:rsidRPr="006F6BAA">
        <w:rPr>
          <w:sz w:val="24"/>
          <w:szCs w:val="24"/>
        </w:rPr>
        <w:t>and us</w:t>
      </w:r>
      <w:r w:rsidRPr="006F6BAA">
        <w:rPr>
          <w:sz w:val="24"/>
          <w:szCs w:val="24"/>
        </w:rPr>
        <w:t>e of</w:t>
      </w:r>
      <w:r w:rsidR="006636DC" w:rsidRPr="006F6BAA">
        <w:rPr>
          <w:sz w:val="24"/>
          <w:szCs w:val="24"/>
        </w:rPr>
        <w:t xml:space="preserve"> </w:t>
      </w:r>
      <w:r w:rsidR="00160DFB" w:rsidRPr="006F6BAA">
        <w:rPr>
          <w:sz w:val="24"/>
          <w:szCs w:val="24"/>
        </w:rPr>
        <w:t>forensic evidence</w:t>
      </w:r>
      <w:r w:rsidR="00B410A9" w:rsidRPr="006F6BAA">
        <w:rPr>
          <w:sz w:val="24"/>
          <w:szCs w:val="24"/>
        </w:rPr>
        <w:t xml:space="preserve"> in relation to the protection of the financial interests of the Union</w:t>
      </w:r>
      <w:r w:rsidR="008339D7" w:rsidRPr="006F6BAA">
        <w:rPr>
          <w:sz w:val="24"/>
          <w:szCs w:val="24"/>
        </w:rPr>
        <w:t>, in particular</w:t>
      </w:r>
      <w:r w:rsidRPr="006F6BAA">
        <w:rPr>
          <w:sz w:val="24"/>
          <w:szCs w:val="24"/>
        </w:rPr>
        <w:t xml:space="preserve"> in relation to</w:t>
      </w:r>
      <w:r w:rsidR="00160DFB" w:rsidRPr="006F6BAA">
        <w:rPr>
          <w:sz w:val="24"/>
          <w:szCs w:val="24"/>
        </w:rPr>
        <w:t xml:space="preserve">: </w:t>
      </w:r>
    </w:p>
    <w:p w:rsidR="00160DFB" w:rsidRPr="006F6BAA" w:rsidRDefault="00160DFB" w:rsidP="00DA7CA1">
      <w:pPr>
        <w:numPr>
          <w:ilvl w:val="1"/>
          <w:numId w:val="23"/>
        </w:numPr>
        <w:jc w:val="both"/>
        <w:rPr>
          <w:sz w:val="24"/>
          <w:szCs w:val="24"/>
        </w:rPr>
      </w:pPr>
      <w:r w:rsidRPr="006F6BAA">
        <w:rPr>
          <w:sz w:val="24"/>
          <w:szCs w:val="24"/>
        </w:rPr>
        <w:t>p</w:t>
      </w:r>
      <w:r w:rsidR="00D50A26" w:rsidRPr="006F6BAA">
        <w:rPr>
          <w:sz w:val="24"/>
          <w:szCs w:val="24"/>
        </w:rPr>
        <w:t>rocedural criminal and administrative law requirements in the Member States and third countries with regard to securing digital forensic evidence in administrative and criminal investigations;</w:t>
      </w:r>
    </w:p>
    <w:p w:rsidR="00613CB7" w:rsidRPr="006F6BAA" w:rsidRDefault="00160DFB" w:rsidP="00DA7CA1">
      <w:pPr>
        <w:numPr>
          <w:ilvl w:val="1"/>
          <w:numId w:val="23"/>
        </w:numPr>
        <w:jc w:val="both"/>
        <w:rPr>
          <w:sz w:val="24"/>
          <w:szCs w:val="24"/>
        </w:rPr>
      </w:pPr>
      <w:r w:rsidRPr="006F6BAA">
        <w:rPr>
          <w:sz w:val="24"/>
          <w:szCs w:val="24"/>
        </w:rPr>
        <w:t>t</w:t>
      </w:r>
      <w:r w:rsidR="00D50A26" w:rsidRPr="006F6BAA">
        <w:rPr>
          <w:sz w:val="24"/>
          <w:szCs w:val="24"/>
        </w:rPr>
        <w:t>he admissibility of electronic evidence in court proceedings;</w:t>
      </w:r>
    </w:p>
    <w:p w:rsidR="009E5F04" w:rsidRPr="006F6BAA" w:rsidRDefault="00613CB7" w:rsidP="00DA7CA1">
      <w:pPr>
        <w:numPr>
          <w:ilvl w:val="1"/>
          <w:numId w:val="23"/>
        </w:numPr>
        <w:jc w:val="both"/>
        <w:rPr>
          <w:sz w:val="24"/>
          <w:szCs w:val="24"/>
        </w:rPr>
      </w:pPr>
      <w:proofErr w:type="gramStart"/>
      <w:r w:rsidRPr="006F6BAA">
        <w:rPr>
          <w:sz w:val="24"/>
          <w:szCs w:val="24"/>
        </w:rPr>
        <w:t>t</w:t>
      </w:r>
      <w:r w:rsidR="00D50A26" w:rsidRPr="006F6BAA">
        <w:rPr>
          <w:sz w:val="24"/>
          <w:szCs w:val="24"/>
        </w:rPr>
        <w:t>he</w:t>
      </w:r>
      <w:proofErr w:type="gramEnd"/>
      <w:r w:rsidR="00D50A26" w:rsidRPr="006F6BAA">
        <w:rPr>
          <w:sz w:val="24"/>
          <w:szCs w:val="24"/>
        </w:rPr>
        <w:t xml:space="preserve"> use of audio and video recordings in administrative and criminal law investigations, </w:t>
      </w:r>
      <w:r w:rsidR="00165C1E" w:rsidRPr="006F6BAA">
        <w:rPr>
          <w:sz w:val="24"/>
          <w:szCs w:val="24"/>
        </w:rPr>
        <w:t>especially</w:t>
      </w:r>
      <w:r w:rsidR="00D50A26" w:rsidRPr="006F6BAA">
        <w:rPr>
          <w:sz w:val="24"/>
          <w:szCs w:val="24"/>
        </w:rPr>
        <w:t xml:space="preserve"> </w:t>
      </w:r>
      <w:r w:rsidR="00E21683" w:rsidRPr="006F6BAA">
        <w:rPr>
          <w:sz w:val="24"/>
          <w:szCs w:val="24"/>
        </w:rPr>
        <w:t>to ensure</w:t>
      </w:r>
      <w:r w:rsidR="009E5F04" w:rsidRPr="006F6BAA">
        <w:rPr>
          <w:sz w:val="24"/>
          <w:szCs w:val="24"/>
        </w:rPr>
        <w:t xml:space="preserve"> the quality, </w:t>
      </w:r>
      <w:r w:rsidR="00D50A26" w:rsidRPr="006F6BAA">
        <w:rPr>
          <w:sz w:val="24"/>
          <w:szCs w:val="24"/>
        </w:rPr>
        <w:t>validity and r</w:t>
      </w:r>
      <w:r w:rsidR="00B6426A" w:rsidRPr="006F6BAA">
        <w:rPr>
          <w:sz w:val="24"/>
          <w:szCs w:val="24"/>
        </w:rPr>
        <w:t>eliability of gathered evidence</w:t>
      </w:r>
      <w:r w:rsidR="005259CF">
        <w:rPr>
          <w:sz w:val="24"/>
          <w:szCs w:val="24"/>
        </w:rPr>
        <w:t>.</w:t>
      </w:r>
    </w:p>
    <w:p w:rsidR="00D50A26" w:rsidRPr="006F6BAA" w:rsidRDefault="009E5F04" w:rsidP="005259CF">
      <w:pPr>
        <w:ind w:left="426" w:hanging="426"/>
        <w:jc w:val="both"/>
        <w:rPr>
          <w:sz w:val="24"/>
          <w:szCs w:val="24"/>
        </w:rPr>
      </w:pPr>
      <w:r w:rsidRPr="006F6BAA">
        <w:rPr>
          <w:sz w:val="24"/>
          <w:szCs w:val="24"/>
        </w:rPr>
        <w:t>3</w:t>
      </w:r>
      <w:r w:rsidR="00101F3A" w:rsidRPr="006F6BAA">
        <w:rPr>
          <w:sz w:val="24"/>
          <w:szCs w:val="24"/>
        </w:rPr>
        <w:t>)</w:t>
      </w:r>
      <w:r w:rsidR="00101F3A" w:rsidRPr="006F6BAA">
        <w:rPr>
          <w:sz w:val="24"/>
          <w:szCs w:val="24"/>
        </w:rPr>
        <w:tab/>
      </w:r>
      <w:r w:rsidR="00F527CA" w:rsidRPr="006F6BAA">
        <w:rPr>
          <w:sz w:val="24"/>
          <w:szCs w:val="24"/>
        </w:rPr>
        <w:t>T</w:t>
      </w:r>
      <w:r w:rsidR="00D50A26" w:rsidRPr="006F6BAA">
        <w:rPr>
          <w:sz w:val="24"/>
          <w:szCs w:val="24"/>
        </w:rPr>
        <w:t xml:space="preserve">he relationship between the Union's competences to carry out on-the-spot checks and national </w:t>
      </w:r>
      <w:r w:rsidR="00F879F9" w:rsidRPr="006F6BAA">
        <w:rPr>
          <w:sz w:val="24"/>
          <w:szCs w:val="24"/>
        </w:rPr>
        <w:t xml:space="preserve">procedural requirements applicable to </w:t>
      </w:r>
      <w:r w:rsidR="00D50A26" w:rsidRPr="006F6BAA">
        <w:rPr>
          <w:sz w:val="24"/>
          <w:szCs w:val="24"/>
        </w:rPr>
        <w:t>administrat</w:t>
      </w:r>
      <w:r w:rsidR="005259CF">
        <w:rPr>
          <w:sz w:val="24"/>
          <w:szCs w:val="24"/>
        </w:rPr>
        <w:t>ive and criminal investigations.</w:t>
      </w:r>
    </w:p>
    <w:p w:rsidR="00935AF5" w:rsidRPr="006F6BAA" w:rsidRDefault="009E5F04" w:rsidP="005259CF">
      <w:pPr>
        <w:ind w:left="426" w:hanging="426"/>
        <w:jc w:val="both"/>
        <w:rPr>
          <w:sz w:val="24"/>
          <w:szCs w:val="24"/>
        </w:rPr>
      </w:pPr>
      <w:r w:rsidRPr="006F6BAA">
        <w:rPr>
          <w:sz w:val="24"/>
          <w:szCs w:val="24"/>
        </w:rPr>
        <w:t>4</w:t>
      </w:r>
      <w:r w:rsidR="00101F3A" w:rsidRPr="006F6BAA">
        <w:rPr>
          <w:sz w:val="24"/>
          <w:szCs w:val="24"/>
        </w:rPr>
        <w:t>)</w:t>
      </w:r>
      <w:r w:rsidR="00101F3A" w:rsidRPr="006F6BAA">
        <w:rPr>
          <w:sz w:val="24"/>
          <w:szCs w:val="24"/>
        </w:rPr>
        <w:tab/>
      </w:r>
      <w:r w:rsidR="00F527CA" w:rsidRPr="006F6BAA">
        <w:rPr>
          <w:sz w:val="24"/>
          <w:szCs w:val="24"/>
        </w:rPr>
        <w:t>T</w:t>
      </w:r>
      <w:r w:rsidR="00D50A26" w:rsidRPr="006F6BAA">
        <w:rPr>
          <w:sz w:val="24"/>
          <w:szCs w:val="24"/>
        </w:rPr>
        <w:t xml:space="preserve">he </w:t>
      </w:r>
      <w:r w:rsidR="00855BD8" w:rsidRPr="006F6BAA">
        <w:rPr>
          <w:sz w:val="24"/>
          <w:szCs w:val="24"/>
        </w:rPr>
        <w:t xml:space="preserve">impact of discrepancies </w:t>
      </w:r>
      <w:r w:rsidR="00C850BA" w:rsidRPr="006F6BAA">
        <w:rPr>
          <w:sz w:val="24"/>
          <w:szCs w:val="24"/>
        </w:rPr>
        <w:t xml:space="preserve">between Member States' </w:t>
      </w:r>
      <w:r w:rsidR="00855BD8" w:rsidRPr="006F6BAA">
        <w:rPr>
          <w:sz w:val="24"/>
          <w:szCs w:val="24"/>
        </w:rPr>
        <w:t xml:space="preserve">national </w:t>
      </w:r>
      <w:r w:rsidR="00D50A26" w:rsidRPr="006F6BAA">
        <w:rPr>
          <w:sz w:val="24"/>
          <w:szCs w:val="24"/>
        </w:rPr>
        <w:t xml:space="preserve">legal systems </w:t>
      </w:r>
      <w:r w:rsidR="00C850BA" w:rsidRPr="006F6BAA">
        <w:rPr>
          <w:sz w:val="24"/>
          <w:szCs w:val="24"/>
        </w:rPr>
        <w:t>to combat financial</w:t>
      </w:r>
      <w:r w:rsidR="00855BD8" w:rsidRPr="006F6BAA">
        <w:rPr>
          <w:sz w:val="24"/>
          <w:szCs w:val="24"/>
        </w:rPr>
        <w:t xml:space="preserve"> cybercrime</w:t>
      </w:r>
      <w:r w:rsidR="00C850BA" w:rsidRPr="006F6BAA">
        <w:rPr>
          <w:sz w:val="24"/>
          <w:szCs w:val="24"/>
        </w:rPr>
        <w:t>,</w:t>
      </w:r>
      <w:r w:rsidR="00855BD8" w:rsidRPr="006F6BAA">
        <w:rPr>
          <w:sz w:val="24"/>
          <w:szCs w:val="24"/>
        </w:rPr>
        <w:t xml:space="preserve"> for successfully fighting fraud, corruption and irregularities affecting the financial interests of the Union</w:t>
      </w:r>
      <w:r w:rsidR="00132917" w:rsidRPr="006F6BAA">
        <w:rPr>
          <w:sz w:val="24"/>
          <w:szCs w:val="24"/>
        </w:rPr>
        <w:t>.</w:t>
      </w:r>
    </w:p>
    <w:p w:rsidR="00935AF5" w:rsidRPr="006F6BAA" w:rsidRDefault="00C56B7A" w:rsidP="005259CF">
      <w:pPr>
        <w:ind w:left="426" w:hanging="426"/>
        <w:jc w:val="both"/>
        <w:rPr>
          <w:sz w:val="24"/>
          <w:szCs w:val="24"/>
        </w:rPr>
      </w:pPr>
      <w:r w:rsidRPr="006F6BAA">
        <w:rPr>
          <w:sz w:val="24"/>
          <w:szCs w:val="24"/>
        </w:rPr>
        <w:t xml:space="preserve">5) </w:t>
      </w:r>
      <w:r w:rsidR="005259CF">
        <w:rPr>
          <w:sz w:val="24"/>
          <w:szCs w:val="24"/>
        </w:rPr>
        <w:tab/>
      </w:r>
      <w:r w:rsidRPr="006F6BAA">
        <w:rPr>
          <w:sz w:val="24"/>
          <w:szCs w:val="24"/>
        </w:rPr>
        <w:t xml:space="preserve">Legal provisions and best practices for the protection of </w:t>
      </w:r>
      <w:r w:rsidR="000E21AF" w:rsidRPr="006F6BAA">
        <w:rPr>
          <w:sz w:val="24"/>
          <w:szCs w:val="24"/>
        </w:rPr>
        <w:t>whistle-blowers</w:t>
      </w:r>
      <w:r w:rsidRPr="006F6BAA">
        <w:rPr>
          <w:sz w:val="24"/>
          <w:szCs w:val="24"/>
        </w:rPr>
        <w:t xml:space="preserve"> in the area of </w:t>
      </w:r>
      <w:r w:rsidR="00935AF5" w:rsidRPr="006F6BAA">
        <w:rPr>
          <w:sz w:val="24"/>
          <w:szCs w:val="24"/>
        </w:rPr>
        <w:t xml:space="preserve">the protection of the Union's financial interests, and the impact of discrepancies between Member States' national legal systems to protect </w:t>
      </w:r>
      <w:r w:rsidR="000E21AF" w:rsidRPr="006F6BAA">
        <w:rPr>
          <w:sz w:val="24"/>
          <w:szCs w:val="24"/>
        </w:rPr>
        <w:t>whistle-blowers</w:t>
      </w:r>
      <w:r w:rsidR="00935AF5" w:rsidRPr="006F6BAA">
        <w:rPr>
          <w:sz w:val="24"/>
          <w:szCs w:val="24"/>
        </w:rPr>
        <w:t xml:space="preserve"> and secure information and evidence from whistle-blowers and other information sources.</w:t>
      </w:r>
    </w:p>
    <w:p w:rsidR="00134DD9" w:rsidRDefault="00134DD9">
      <w:pPr>
        <w:rPr>
          <w:sz w:val="24"/>
          <w:szCs w:val="24"/>
        </w:rPr>
      </w:pPr>
      <w:r>
        <w:rPr>
          <w:sz w:val="24"/>
          <w:szCs w:val="24"/>
        </w:rPr>
        <w:br w:type="page"/>
      </w:r>
    </w:p>
    <w:p w:rsidR="00436C9B" w:rsidRPr="006F6BAA" w:rsidRDefault="001E62A6" w:rsidP="001E62A6">
      <w:pPr>
        <w:pStyle w:val="Heading1"/>
        <w:rPr>
          <w:sz w:val="24"/>
          <w:szCs w:val="24"/>
        </w:rPr>
      </w:pPr>
      <w:bookmarkStart w:id="222" w:name="_Toc388430598"/>
      <w:bookmarkStart w:id="223" w:name="_Toc388430998"/>
      <w:bookmarkStart w:id="224" w:name="_Toc388620812"/>
      <w:bookmarkStart w:id="225" w:name="_Toc388862573"/>
      <w:bookmarkStart w:id="226" w:name="_Toc388867208"/>
      <w:bookmarkStart w:id="227" w:name="_Toc388867343"/>
      <w:bookmarkStart w:id="228" w:name="_Toc388869039"/>
      <w:bookmarkStart w:id="229" w:name="_Toc423015990"/>
      <w:bookmarkStart w:id="230" w:name="_Toc423016109"/>
      <w:bookmarkStart w:id="231" w:name="_Toc446498622"/>
      <w:bookmarkStart w:id="232" w:name="_Toc481491541"/>
      <w:bookmarkStart w:id="233" w:name="_Toc484788377"/>
      <w:r w:rsidRPr="006F6BAA">
        <w:rPr>
          <w:sz w:val="24"/>
          <w:szCs w:val="24"/>
        </w:rPr>
        <w:lastRenderedPageBreak/>
        <w:t>7.</w:t>
      </w:r>
      <w:r w:rsidRPr="006F6BAA">
        <w:rPr>
          <w:sz w:val="24"/>
          <w:szCs w:val="24"/>
        </w:rPr>
        <w:tab/>
      </w:r>
      <w:r w:rsidR="00CC15B5" w:rsidRPr="006F6BAA">
        <w:rPr>
          <w:sz w:val="24"/>
          <w:szCs w:val="24"/>
        </w:rPr>
        <w:t>Procedure for the examination of the application</w:t>
      </w:r>
      <w:bookmarkEnd w:id="222"/>
      <w:bookmarkEnd w:id="223"/>
      <w:bookmarkEnd w:id="224"/>
      <w:bookmarkEnd w:id="225"/>
      <w:bookmarkEnd w:id="226"/>
      <w:bookmarkEnd w:id="227"/>
      <w:bookmarkEnd w:id="228"/>
      <w:bookmarkEnd w:id="229"/>
      <w:bookmarkEnd w:id="230"/>
      <w:bookmarkEnd w:id="231"/>
      <w:bookmarkEnd w:id="232"/>
      <w:r w:rsidR="005259CF">
        <w:rPr>
          <w:sz w:val="24"/>
          <w:szCs w:val="24"/>
        </w:rPr>
        <w:t>s</w:t>
      </w:r>
      <w:bookmarkEnd w:id="233"/>
    </w:p>
    <w:p w:rsidR="00CC15B5" w:rsidRPr="006F6BAA" w:rsidRDefault="00CC15B5" w:rsidP="006B1FBF">
      <w:pPr>
        <w:pStyle w:val="Heading2"/>
        <w:rPr>
          <w:rStyle w:val="Emphasis"/>
          <w:b w:val="0"/>
          <w:bCs w:val="0"/>
          <w:i w:val="0"/>
          <w:sz w:val="24"/>
          <w:szCs w:val="24"/>
        </w:rPr>
      </w:pPr>
      <w:bookmarkStart w:id="234" w:name="_Toc388869040"/>
      <w:bookmarkStart w:id="235" w:name="_Toc423015991"/>
      <w:bookmarkStart w:id="236" w:name="_Toc423016110"/>
      <w:bookmarkStart w:id="237" w:name="_Toc446498623"/>
      <w:bookmarkStart w:id="238" w:name="_Toc481491542"/>
      <w:bookmarkStart w:id="239" w:name="_Toc484788378"/>
      <w:r w:rsidRPr="006F6BAA">
        <w:rPr>
          <w:sz w:val="24"/>
          <w:szCs w:val="24"/>
        </w:rPr>
        <w:t xml:space="preserve">7.1 </w:t>
      </w:r>
      <w:r w:rsidRPr="006F6BAA">
        <w:rPr>
          <w:sz w:val="24"/>
          <w:szCs w:val="24"/>
        </w:rPr>
        <w:tab/>
        <w:t>Evaluation Committee</w:t>
      </w:r>
      <w:bookmarkEnd w:id="234"/>
      <w:bookmarkEnd w:id="235"/>
      <w:bookmarkEnd w:id="236"/>
      <w:bookmarkEnd w:id="237"/>
      <w:bookmarkEnd w:id="238"/>
      <w:bookmarkEnd w:id="239"/>
      <w:r w:rsidRPr="006F6BAA">
        <w:rPr>
          <w:sz w:val="24"/>
          <w:szCs w:val="24"/>
        </w:rPr>
        <w:t xml:space="preserve"> </w:t>
      </w:r>
    </w:p>
    <w:p w:rsidR="0025086A" w:rsidRPr="006F6BAA" w:rsidRDefault="0025086A" w:rsidP="0025086A">
      <w:pPr>
        <w:jc w:val="both"/>
        <w:rPr>
          <w:rFonts w:eastAsiaTheme="minorHAnsi"/>
          <w:iCs/>
          <w:sz w:val="24"/>
          <w:szCs w:val="24"/>
        </w:rPr>
      </w:pPr>
      <w:r w:rsidRPr="006F6BAA">
        <w:rPr>
          <w:rFonts w:eastAsiaTheme="minorHAnsi"/>
          <w:iCs/>
          <w:sz w:val="24"/>
          <w:szCs w:val="24"/>
        </w:rPr>
        <w:t xml:space="preserve">The Commission will appoint an Evaluation Committee to examine the applications on the basis of the eligibility criteria (7.2), the operational capacity set out in the selection criteria (7.4) and the award criteria (7.5). The Evaluation Committee will adopt a list with applicants that it recommends for the award of a grant. Once this list is established, the </w:t>
      </w:r>
      <w:r w:rsidR="006B1FBF" w:rsidRPr="006F6BAA">
        <w:rPr>
          <w:rFonts w:eastAsiaTheme="minorHAnsi"/>
          <w:iCs/>
          <w:sz w:val="24"/>
          <w:szCs w:val="24"/>
        </w:rPr>
        <w:t xml:space="preserve">Commission will verify the compliance with the </w:t>
      </w:r>
      <w:r w:rsidRPr="006F6BAA">
        <w:rPr>
          <w:rFonts w:eastAsiaTheme="minorHAnsi"/>
          <w:iCs/>
          <w:sz w:val="24"/>
          <w:szCs w:val="24"/>
        </w:rPr>
        <w:t xml:space="preserve">exclusion criteria (7.3) </w:t>
      </w:r>
      <w:r w:rsidR="006B1FBF" w:rsidRPr="006F6BAA">
        <w:rPr>
          <w:rFonts w:eastAsiaTheme="minorHAnsi"/>
          <w:iCs/>
          <w:sz w:val="24"/>
          <w:szCs w:val="24"/>
        </w:rPr>
        <w:t xml:space="preserve">and </w:t>
      </w:r>
      <w:r w:rsidRPr="006F6BAA">
        <w:rPr>
          <w:rFonts w:eastAsiaTheme="minorHAnsi"/>
          <w:iCs/>
          <w:sz w:val="24"/>
          <w:szCs w:val="24"/>
        </w:rPr>
        <w:t xml:space="preserve">the financial capacity set out in the selection criteria (7.4). If an application does not successfully pass the examination of a set of criteria, it will be discarded and the applicant will be informed accordingly. </w:t>
      </w:r>
    </w:p>
    <w:p w:rsidR="0025086A" w:rsidRPr="006F6BAA" w:rsidRDefault="0025086A" w:rsidP="005259CF">
      <w:pPr>
        <w:spacing w:before="120"/>
        <w:jc w:val="both"/>
        <w:rPr>
          <w:sz w:val="24"/>
          <w:szCs w:val="24"/>
        </w:rPr>
      </w:pPr>
      <w:r w:rsidRPr="006F6BAA">
        <w:rPr>
          <w:rFonts w:eastAsiaTheme="minorHAnsi"/>
          <w:sz w:val="24"/>
          <w:szCs w:val="24"/>
        </w:rPr>
        <w:t>The Commission may ask an applicant to provide additional information or to clarify the supporting documents submitted in connection with the application, in particular in the case of manifest material errors.</w:t>
      </w:r>
    </w:p>
    <w:p w:rsidR="00845774" w:rsidRPr="006F6BAA" w:rsidRDefault="00A93BEB" w:rsidP="005A2E3A">
      <w:pPr>
        <w:pStyle w:val="Heading2"/>
        <w:rPr>
          <w:sz w:val="24"/>
          <w:szCs w:val="24"/>
        </w:rPr>
      </w:pPr>
      <w:bookmarkStart w:id="240" w:name="_Toc484788379"/>
      <w:r w:rsidRPr="006F6BAA">
        <w:rPr>
          <w:sz w:val="24"/>
          <w:szCs w:val="24"/>
        </w:rPr>
        <w:t xml:space="preserve">7.2      </w:t>
      </w:r>
      <w:r w:rsidR="00930696" w:rsidRPr="006F6BAA">
        <w:rPr>
          <w:sz w:val="24"/>
          <w:szCs w:val="24"/>
        </w:rPr>
        <w:t>Eligibility criteria</w:t>
      </w:r>
      <w:r w:rsidR="0016236C" w:rsidRPr="006F6BAA">
        <w:rPr>
          <w:rStyle w:val="FootnoteReference"/>
          <w:sz w:val="24"/>
          <w:szCs w:val="24"/>
        </w:rPr>
        <w:footnoteReference w:id="24"/>
      </w:r>
      <w:bookmarkEnd w:id="240"/>
      <w:r w:rsidR="00C365E8" w:rsidRPr="006F6BAA">
        <w:rPr>
          <w:sz w:val="24"/>
          <w:szCs w:val="24"/>
        </w:rPr>
        <w:tab/>
      </w:r>
    </w:p>
    <w:p w:rsidR="00642479" w:rsidRPr="006F6BAA" w:rsidRDefault="00642479" w:rsidP="00642479">
      <w:pPr>
        <w:jc w:val="both"/>
        <w:rPr>
          <w:sz w:val="24"/>
          <w:szCs w:val="24"/>
        </w:rPr>
      </w:pPr>
      <w:r w:rsidRPr="006F6BAA">
        <w:rPr>
          <w:sz w:val="24"/>
          <w:szCs w:val="24"/>
        </w:rPr>
        <w:t xml:space="preserve">Eligibility criteria are used to determine whether an applicant is </w:t>
      </w:r>
      <w:r w:rsidR="002E469C" w:rsidRPr="006F6BAA">
        <w:rPr>
          <w:sz w:val="24"/>
          <w:szCs w:val="24"/>
        </w:rPr>
        <w:t>allowed to participate in this call for p</w:t>
      </w:r>
      <w:r w:rsidRPr="006F6BAA">
        <w:rPr>
          <w:sz w:val="24"/>
          <w:szCs w:val="24"/>
        </w:rPr>
        <w:t xml:space="preserve">roposals. To </w:t>
      </w:r>
      <w:r w:rsidRPr="006F6BAA">
        <w:rPr>
          <w:b/>
          <w:sz w:val="24"/>
          <w:szCs w:val="24"/>
        </w:rPr>
        <w:t>be eligible</w:t>
      </w:r>
      <w:r w:rsidRPr="006F6BAA">
        <w:rPr>
          <w:sz w:val="24"/>
          <w:szCs w:val="24"/>
        </w:rPr>
        <w:t>, an application m</w:t>
      </w:r>
      <w:r w:rsidR="000A6A21" w:rsidRPr="006F6BAA">
        <w:rPr>
          <w:sz w:val="24"/>
          <w:szCs w:val="24"/>
        </w:rPr>
        <w:t>ust</w:t>
      </w:r>
      <w:r w:rsidRPr="006F6BAA">
        <w:rPr>
          <w:sz w:val="24"/>
          <w:szCs w:val="24"/>
        </w:rPr>
        <w:t>:</w:t>
      </w:r>
    </w:p>
    <w:p w:rsidR="00642479" w:rsidRPr="006F6BAA" w:rsidRDefault="00642479" w:rsidP="00642479">
      <w:pPr>
        <w:jc w:val="both"/>
        <w:rPr>
          <w:sz w:val="24"/>
          <w:szCs w:val="24"/>
        </w:rPr>
      </w:pPr>
    </w:p>
    <w:p w:rsidR="00642479" w:rsidRPr="006F6BAA" w:rsidRDefault="007738DB" w:rsidP="00DA7CA1">
      <w:pPr>
        <w:numPr>
          <w:ilvl w:val="0"/>
          <w:numId w:val="12"/>
        </w:numPr>
        <w:jc w:val="both"/>
        <w:rPr>
          <w:sz w:val="24"/>
          <w:szCs w:val="24"/>
        </w:rPr>
      </w:pPr>
      <w:r w:rsidRPr="006F6BAA">
        <w:rPr>
          <w:sz w:val="24"/>
          <w:szCs w:val="24"/>
        </w:rPr>
        <w:t>b</w:t>
      </w:r>
      <w:r w:rsidR="00BF34B9" w:rsidRPr="006F6BAA">
        <w:rPr>
          <w:sz w:val="24"/>
          <w:szCs w:val="24"/>
        </w:rPr>
        <w:t xml:space="preserve">e </w:t>
      </w:r>
      <w:r w:rsidR="00642479" w:rsidRPr="006F6BAA">
        <w:rPr>
          <w:sz w:val="24"/>
          <w:szCs w:val="24"/>
        </w:rPr>
        <w:t>submitted by an applicant as defined in point 2.2</w:t>
      </w:r>
      <w:r w:rsidR="00541A78" w:rsidRPr="006F6BAA">
        <w:rPr>
          <w:sz w:val="24"/>
          <w:szCs w:val="24"/>
        </w:rPr>
        <w:t xml:space="preserve"> of this document;</w:t>
      </w:r>
    </w:p>
    <w:p w:rsidR="00681A27" w:rsidRPr="006F6BAA" w:rsidRDefault="007738DB" w:rsidP="00DA7CA1">
      <w:pPr>
        <w:pStyle w:val="ListParagraph"/>
        <w:numPr>
          <w:ilvl w:val="0"/>
          <w:numId w:val="12"/>
        </w:numPr>
        <w:jc w:val="both"/>
        <w:rPr>
          <w:sz w:val="24"/>
          <w:szCs w:val="24"/>
        </w:rPr>
      </w:pPr>
      <w:r w:rsidRPr="006F6BAA">
        <w:rPr>
          <w:sz w:val="24"/>
          <w:szCs w:val="24"/>
        </w:rPr>
        <w:t>b</w:t>
      </w:r>
      <w:r w:rsidR="00BF34B9" w:rsidRPr="006F6BAA">
        <w:rPr>
          <w:sz w:val="24"/>
          <w:szCs w:val="24"/>
        </w:rPr>
        <w:t xml:space="preserve">e </w:t>
      </w:r>
      <w:r w:rsidR="00642479" w:rsidRPr="006F6BAA">
        <w:rPr>
          <w:sz w:val="24"/>
          <w:szCs w:val="24"/>
        </w:rPr>
        <w:t>submitted</w:t>
      </w:r>
      <w:r w:rsidR="00BF34B9" w:rsidRPr="006F6BAA">
        <w:rPr>
          <w:sz w:val="24"/>
          <w:szCs w:val="24"/>
        </w:rPr>
        <w:t xml:space="preserve"> by </w:t>
      </w:r>
      <w:r w:rsidR="00541A78" w:rsidRPr="006F6BAA">
        <w:rPr>
          <w:sz w:val="24"/>
          <w:szCs w:val="24"/>
        </w:rPr>
        <w:t>using the "Participants P</w:t>
      </w:r>
      <w:r w:rsidR="00BF34B9" w:rsidRPr="006F6BAA">
        <w:rPr>
          <w:sz w:val="24"/>
          <w:szCs w:val="24"/>
        </w:rPr>
        <w:t>ortal" for non-H2020 programmes;</w:t>
      </w:r>
      <w:r w:rsidR="00692F66" w:rsidRPr="006F6BAA">
        <w:rPr>
          <w:sz w:val="24"/>
          <w:szCs w:val="24"/>
        </w:rPr>
        <w:t xml:space="preserve"> </w:t>
      </w:r>
    </w:p>
    <w:p w:rsidR="00BF34B9" w:rsidRPr="006F6BAA" w:rsidRDefault="007738DB" w:rsidP="00DA7CA1">
      <w:pPr>
        <w:pStyle w:val="ListParagraph"/>
        <w:numPr>
          <w:ilvl w:val="0"/>
          <w:numId w:val="12"/>
        </w:numPr>
        <w:jc w:val="both"/>
        <w:rPr>
          <w:sz w:val="24"/>
          <w:szCs w:val="24"/>
        </w:rPr>
      </w:pPr>
      <w:r w:rsidRPr="006F6BAA">
        <w:rPr>
          <w:sz w:val="24"/>
          <w:szCs w:val="24"/>
        </w:rPr>
        <w:t>p</w:t>
      </w:r>
      <w:r w:rsidR="00BF34B9" w:rsidRPr="006F6BAA">
        <w:rPr>
          <w:sz w:val="24"/>
          <w:szCs w:val="24"/>
        </w:rPr>
        <w:t xml:space="preserve">ropose an action having a </w:t>
      </w:r>
      <w:r w:rsidR="00511E1E" w:rsidRPr="006F6BAA">
        <w:rPr>
          <w:sz w:val="24"/>
          <w:szCs w:val="24"/>
        </w:rPr>
        <w:t xml:space="preserve">budget </w:t>
      </w:r>
      <w:r w:rsidR="00BF34B9" w:rsidRPr="006F6BAA">
        <w:rPr>
          <w:sz w:val="24"/>
          <w:szCs w:val="24"/>
        </w:rPr>
        <w:t>of at least EUR 40 000;</w:t>
      </w:r>
    </w:p>
    <w:p w:rsidR="0090559D" w:rsidRPr="006F6BAA" w:rsidRDefault="007738DB" w:rsidP="00DA7CA1">
      <w:pPr>
        <w:pStyle w:val="ListParagraph"/>
        <w:numPr>
          <w:ilvl w:val="0"/>
          <w:numId w:val="12"/>
        </w:numPr>
        <w:jc w:val="both"/>
        <w:rPr>
          <w:sz w:val="24"/>
          <w:szCs w:val="24"/>
        </w:rPr>
      </w:pPr>
      <w:r w:rsidRPr="006F6BAA">
        <w:rPr>
          <w:sz w:val="24"/>
          <w:szCs w:val="24"/>
        </w:rPr>
        <w:t>b</w:t>
      </w:r>
      <w:r w:rsidR="0090559D" w:rsidRPr="006F6BAA">
        <w:rPr>
          <w:sz w:val="24"/>
          <w:szCs w:val="24"/>
        </w:rPr>
        <w:t>e submitted befo</w:t>
      </w:r>
      <w:r w:rsidR="00B6426A" w:rsidRPr="006F6BAA">
        <w:rPr>
          <w:sz w:val="24"/>
          <w:szCs w:val="24"/>
        </w:rPr>
        <w:t xml:space="preserve">re the </w:t>
      </w:r>
      <w:r w:rsidR="00B6426A" w:rsidRPr="006F6BAA">
        <w:rPr>
          <w:b/>
          <w:sz w:val="24"/>
          <w:szCs w:val="24"/>
        </w:rPr>
        <w:t>deadline</w:t>
      </w:r>
      <w:r w:rsidR="00954543" w:rsidRPr="006F6BAA">
        <w:rPr>
          <w:rStyle w:val="FootnoteReference"/>
          <w:b/>
          <w:sz w:val="24"/>
          <w:szCs w:val="24"/>
        </w:rPr>
        <w:footnoteReference w:id="25"/>
      </w:r>
      <w:r w:rsidR="00B6426A" w:rsidRPr="006F6BAA">
        <w:rPr>
          <w:b/>
          <w:sz w:val="24"/>
          <w:szCs w:val="24"/>
        </w:rPr>
        <w:t xml:space="preserve"> of</w:t>
      </w:r>
      <w:r w:rsidR="00B6426A" w:rsidRPr="006F6BAA">
        <w:rPr>
          <w:sz w:val="24"/>
          <w:szCs w:val="24"/>
        </w:rPr>
        <w:t xml:space="preserve"> </w:t>
      </w:r>
      <w:r w:rsidR="00854BB5" w:rsidRPr="006F6BAA">
        <w:rPr>
          <w:b/>
          <w:sz w:val="24"/>
          <w:szCs w:val="24"/>
        </w:rPr>
        <w:t xml:space="preserve">Wednesday, </w:t>
      </w:r>
      <w:r w:rsidR="008B6097" w:rsidRPr="006F6BAA">
        <w:rPr>
          <w:b/>
          <w:sz w:val="24"/>
          <w:szCs w:val="24"/>
        </w:rPr>
        <w:t>9 August</w:t>
      </w:r>
      <w:r w:rsidR="0090559D" w:rsidRPr="006F6BAA">
        <w:rPr>
          <w:b/>
          <w:sz w:val="24"/>
          <w:szCs w:val="24"/>
        </w:rPr>
        <w:t xml:space="preserve"> 2017</w:t>
      </w:r>
      <w:r w:rsidR="0090559D" w:rsidRPr="006F6BAA">
        <w:rPr>
          <w:sz w:val="24"/>
          <w:szCs w:val="24"/>
        </w:rPr>
        <w:t>;</w:t>
      </w:r>
    </w:p>
    <w:p w:rsidR="00C66048" w:rsidRPr="006F6BAA" w:rsidRDefault="007738DB" w:rsidP="00DA7CA1">
      <w:pPr>
        <w:numPr>
          <w:ilvl w:val="0"/>
          <w:numId w:val="12"/>
        </w:numPr>
        <w:jc w:val="both"/>
        <w:rPr>
          <w:bCs/>
          <w:sz w:val="24"/>
          <w:szCs w:val="24"/>
        </w:rPr>
      </w:pPr>
      <w:proofErr w:type="gramStart"/>
      <w:r w:rsidRPr="006F6BAA">
        <w:rPr>
          <w:sz w:val="24"/>
          <w:szCs w:val="24"/>
        </w:rPr>
        <w:t>b</w:t>
      </w:r>
      <w:r w:rsidR="00496865" w:rsidRPr="006F6BAA">
        <w:rPr>
          <w:sz w:val="24"/>
          <w:szCs w:val="24"/>
        </w:rPr>
        <w:t>e</w:t>
      </w:r>
      <w:proofErr w:type="gramEnd"/>
      <w:r w:rsidR="00496865" w:rsidRPr="006F6BAA">
        <w:rPr>
          <w:sz w:val="24"/>
          <w:szCs w:val="24"/>
        </w:rPr>
        <w:t xml:space="preserve"> </w:t>
      </w:r>
      <w:r w:rsidR="00642479" w:rsidRPr="006F6BAA">
        <w:rPr>
          <w:sz w:val="24"/>
          <w:szCs w:val="24"/>
        </w:rPr>
        <w:t xml:space="preserve">the </w:t>
      </w:r>
      <w:r w:rsidR="00642479" w:rsidRPr="006F6BAA">
        <w:rPr>
          <w:b/>
          <w:sz w:val="24"/>
          <w:szCs w:val="24"/>
        </w:rPr>
        <w:t>only</w:t>
      </w:r>
      <w:r w:rsidR="00642479" w:rsidRPr="006F6BAA">
        <w:rPr>
          <w:sz w:val="24"/>
          <w:szCs w:val="24"/>
        </w:rPr>
        <w:t xml:space="preserve"> application submitted: a</w:t>
      </w:r>
      <w:r w:rsidR="00642479" w:rsidRPr="006F6BAA">
        <w:rPr>
          <w:bCs/>
          <w:sz w:val="24"/>
          <w:szCs w:val="24"/>
        </w:rPr>
        <w:t xml:space="preserve"> legal entity or body may submit only </w:t>
      </w:r>
      <w:r w:rsidR="00642479" w:rsidRPr="006F6BAA">
        <w:rPr>
          <w:b/>
          <w:bCs/>
          <w:sz w:val="24"/>
          <w:szCs w:val="24"/>
        </w:rPr>
        <w:t>one</w:t>
      </w:r>
      <w:r w:rsidR="00642479" w:rsidRPr="006F6BAA">
        <w:rPr>
          <w:bCs/>
          <w:sz w:val="24"/>
          <w:szCs w:val="24"/>
        </w:rPr>
        <w:t xml:space="preserve"> application </w:t>
      </w:r>
      <w:r w:rsidR="00B6426A" w:rsidRPr="006F6BAA">
        <w:rPr>
          <w:b/>
          <w:bCs/>
          <w:sz w:val="24"/>
          <w:szCs w:val="24"/>
        </w:rPr>
        <w:t>under this c</w:t>
      </w:r>
      <w:r w:rsidR="00642479" w:rsidRPr="006F6BAA">
        <w:rPr>
          <w:b/>
          <w:bCs/>
          <w:sz w:val="24"/>
          <w:szCs w:val="24"/>
        </w:rPr>
        <w:t>all</w:t>
      </w:r>
      <w:r w:rsidR="00642479" w:rsidRPr="006F6BAA">
        <w:rPr>
          <w:bCs/>
          <w:sz w:val="24"/>
          <w:szCs w:val="24"/>
        </w:rPr>
        <w:t>.</w:t>
      </w:r>
      <w:bookmarkStart w:id="241" w:name="_Toc420418675"/>
      <w:bookmarkStart w:id="242" w:name="_Toc349032155"/>
      <w:bookmarkStart w:id="243" w:name="_Toc350183614"/>
      <w:bookmarkStart w:id="244" w:name="_Toc350183920"/>
      <w:bookmarkStart w:id="245" w:name="_Toc350347757"/>
      <w:bookmarkStart w:id="246" w:name="_Toc350348100"/>
      <w:bookmarkStart w:id="247" w:name="_Toc350350626"/>
      <w:bookmarkStart w:id="248" w:name="_Toc350352618"/>
      <w:bookmarkStart w:id="249" w:name="_Toc350781075"/>
      <w:bookmarkStart w:id="250" w:name="_Toc350781640"/>
      <w:bookmarkStart w:id="251" w:name="_Toc350789326"/>
      <w:bookmarkEnd w:id="241"/>
      <w:bookmarkEnd w:id="242"/>
      <w:bookmarkEnd w:id="243"/>
      <w:bookmarkEnd w:id="244"/>
      <w:bookmarkEnd w:id="245"/>
      <w:bookmarkEnd w:id="246"/>
      <w:bookmarkEnd w:id="247"/>
      <w:bookmarkEnd w:id="248"/>
      <w:bookmarkEnd w:id="249"/>
      <w:bookmarkEnd w:id="250"/>
      <w:bookmarkEnd w:id="251"/>
    </w:p>
    <w:p w:rsidR="00E5411C" w:rsidRPr="006F6BAA" w:rsidRDefault="00E5411C" w:rsidP="00E5411C">
      <w:pPr>
        <w:jc w:val="both"/>
        <w:rPr>
          <w:rFonts w:eastAsiaTheme="minorHAnsi"/>
          <w:bCs/>
          <w:sz w:val="24"/>
          <w:szCs w:val="24"/>
        </w:rPr>
      </w:pPr>
    </w:p>
    <w:tbl>
      <w:tblPr>
        <w:tblStyle w:val="TableGrid3"/>
        <w:tblW w:w="0" w:type="auto"/>
        <w:tblInd w:w="392" w:type="dxa"/>
        <w:tblLook w:val="04A0" w:firstRow="1" w:lastRow="0" w:firstColumn="1" w:lastColumn="0" w:noHBand="0" w:noVBand="1"/>
      </w:tblPr>
      <w:tblGrid>
        <w:gridCol w:w="8850"/>
      </w:tblGrid>
      <w:tr w:rsidR="00E5411C" w:rsidRPr="006F6BAA" w:rsidTr="008B6097">
        <w:tc>
          <w:tcPr>
            <w:tcW w:w="8850" w:type="dxa"/>
          </w:tcPr>
          <w:p w:rsidR="00E5411C" w:rsidRPr="006F6BAA" w:rsidRDefault="00E5411C" w:rsidP="008B6097">
            <w:pPr>
              <w:spacing w:before="120" w:after="120"/>
              <w:ind w:left="283" w:right="283"/>
              <w:jc w:val="both"/>
              <w:rPr>
                <w:rFonts w:eastAsiaTheme="minorHAnsi"/>
                <w:sz w:val="24"/>
                <w:szCs w:val="24"/>
              </w:rPr>
            </w:pPr>
            <w:r w:rsidRPr="006F6BAA">
              <w:rPr>
                <w:rFonts w:eastAsiaTheme="minorHAnsi"/>
                <w:b/>
                <w:sz w:val="24"/>
                <w:szCs w:val="24"/>
              </w:rPr>
              <w:t>For applicants located in the UK</w:t>
            </w:r>
            <w:r w:rsidRPr="006F6BAA">
              <w:rPr>
                <w:rFonts w:eastAsiaTheme="minorHAnsi"/>
                <w:sz w:val="24"/>
                <w:szCs w:val="24"/>
              </w:rPr>
              <w:t xml:space="preserve">: Please be aware that the eligibility criteria must be complied with for the </w:t>
            </w:r>
            <w:r w:rsidRPr="006F6BAA">
              <w:rPr>
                <w:rFonts w:eastAsiaTheme="minorHAnsi"/>
                <w:i/>
                <w:iCs/>
                <w:sz w:val="24"/>
                <w:szCs w:val="24"/>
              </w:rPr>
              <w:t>entire</w:t>
            </w:r>
            <w:r w:rsidRPr="006F6BAA">
              <w:rPr>
                <w:rFonts w:eastAsiaTheme="minorHAnsi"/>
                <w:sz w:val="24"/>
                <w:szCs w:val="24"/>
              </w:rPr>
              <w:t xml:space="preserve"> duration of the grant. If the United Kingdom withdraws from the EU during the grant period without concluding an agreement with the EU derogating from that rule, you will cease to receive EU funding or be required to leave the project on the basis of Article 34.3.1 (change of the legal situation of the beneficiary) of the grant agreement.</w:t>
            </w:r>
          </w:p>
        </w:tc>
      </w:tr>
    </w:tbl>
    <w:p w:rsidR="00E6775C" w:rsidRPr="006F6BAA" w:rsidRDefault="009B1578" w:rsidP="00DA0516">
      <w:pPr>
        <w:pStyle w:val="Heading2"/>
        <w:rPr>
          <w:sz w:val="24"/>
          <w:szCs w:val="24"/>
        </w:rPr>
      </w:pPr>
      <w:bookmarkStart w:id="252" w:name="_Toc484788380"/>
      <w:r w:rsidRPr="006F6BAA">
        <w:rPr>
          <w:sz w:val="24"/>
          <w:szCs w:val="24"/>
        </w:rPr>
        <w:t xml:space="preserve">7.3      </w:t>
      </w:r>
      <w:r w:rsidR="00E6775C" w:rsidRPr="006F6BAA">
        <w:rPr>
          <w:sz w:val="24"/>
          <w:szCs w:val="24"/>
        </w:rPr>
        <w:t>Exclusion criteria</w:t>
      </w:r>
      <w:r w:rsidR="005023F4" w:rsidRPr="006F6BAA">
        <w:rPr>
          <w:sz w:val="24"/>
          <w:szCs w:val="24"/>
          <w:vertAlign w:val="superscript"/>
        </w:rPr>
        <w:footnoteReference w:id="26"/>
      </w:r>
      <w:bookmarkEnd w:id="252"/>
      <w:r w:rsidR="005023F4" w:rsidRPr="006F6BAA">
        <w:rPr>
          <w:sz w:val="24"/>
          <w:szCs w:val="24"/>
        </w:rPr>
        <w:tab/>
      </w:r>
    </w:p>
    <w:p w:rsidR="002B797F" w:rsidRPr="006F6BAA" w:rsidRDefault="002B797F" w:rsidP="002B797F">
      <w:pPr>
        <w:rPr>
          <w:sz w:val="24"/>
          <w:szCs w:val="24"/>
        </w:rPr>
      </w:pPr>
    </w:p>
    <w:p w:rsidR="00E76D82" w:rsidRPr="006F6BAA" w:rsidRDefault="00E76D82" w:rsidP="00E76D82">
      <w:pPr>
        <w:jc w:val="both"/>
        <w:rPr>
          <w:rFonts w:eastAsiaTheme="minorHAnsi"/>
          <w:sz w:val="24"/>
          <w:szCs w:val="24"/>
        </w:rPr>
      </w:pPr>
      <w:r w:rsidRPr="006F6BAA">
        <w:rPr>
          <w:rFonts w:eastAsiaTheme="minorHAnsi"/>
          <w:sz w:val="24"/>
          <w:szCs w:val="24"/>
        </w:rPr>
        <w:t xml:space="preserve">The Commission will </w:t>
      </w:r>
      <w:r w:rsidRPr="006F6BAA">
        <w:rPr>
          <w:rFonts w:eastAsiaTheme="minorHAnsi"/>
          <w:b/>
          <w:sz w:val="24"/>
          <w:szCs w:val="24"/>
        </w:rPr>
        <w:t xml:space="preserve">exclude </w:t>
      </w:r>
      <w:r w:rsidRPr="006F6BAA">
        <w:rPr>
          <w:rFonts w:eastAsiaTheme="minorHAnsi"/>
          <w:sz w:val="24"/>
          <w:szCs w:val="24"/>
        </w:rPr>
        <w:t>an application if the applicant is:</w:t>
      </w:r>
    </w:p>
    <w:p w:rsidR="00E76D82" w:rsidRPr="006F6BAA" w:rsidRDefault="00E76D82" w:rsidP="00E76D82">
      <w:pPr>
        <w:jc w:val="both"/>
        <w:rPr>
          <w:rFonts w:eastAsiaTheme="minorHAnsi"/>
          <w:sz w:val="24"/>
          <w:szCs w:val="24"/>
        </w:rPr>
      </w:pPr>
    </w:p>
    <w:p w:rsidR="00E76D82" w:rsidRPr="006F6BAA" w:rsidRDefault="00E76D82" w:rsidP="005259CF">
      <w:pPr>
        <w:numPr>
          <w:ilvl w:val="0"/>
          <w:numId w:val="26"/>
        </w:numPr>
        <w:spacing w:after="200"/>
        <w:contextualSpacing/>
        <w:jc w:val="both"/>
        <w:rPr>
          <w:rFonts w:eastAsiaTheme="minorHAnsi"/>
          <w:sz w:val="24"/>
          <w:szCs w:val="24"/>
        </w:rPr>
      </w:pPr>
      <w:r w:rsidRPr="006F6BAA">
        <w:rPr>
          <w:rFonts w:eastAsiaTheme="minorHAnsi"/>
          <w:b/>
          <w:sz w:val="24"/>
          <w:szCs w:val="24"/>
        </w:rPr>
        <w:t>bankrupt</w:t>
      </w:r>
      <w:r w:rsidRPr="006F6BAA">
        <w:rPr>
          <w:rFonts w:eastAsiaTheme="minorHAnsi"/>
          <w:sz w:val="24"/>
          <w:szCs w:val="24"/>
        </w:rPr>
        <w:t>, being wound up, having its affairs administered by the courts, entered into an arrangement with creditors, suspended business activities or subject to any other similar proceedings or procedures under national law (including persons with unlimited liability for its debts);</w:t>
      </w:r>
    </w:p>
    <w:p w:rsidR="00E76D82" w:rsidRPr="006F6BAA" w:rsidRDefault="00E76D82" w:rsidP="005259CF">
      <w:pPr>
        <w:numPr>
          <w:ilvl w:val="0"/>
          <w:numId w:val="26"/>
        </w:numPr>
        <w:spacing w:after="200"/>
        <w:contextualSpacing/>
        <w:jc w:val="both"/>
        <w:rPr>
          <w:rFonts w:eastAsiaTheme="minorHAnsi"/>
          <w:sz w:val="24"/>
          <w:szCs w:val="24"/>
        </w:rPr>
      </w:pPr>
      <w:r w:rsidRPr="006F6BAA">
        <w:rPr>
          <w:rFonts w:eastAsiaTheme="minorHAnsi"/>
          <w:sz w:val="24"/>
          <w:szCs w:val="24"/>
        </w:rPr>
        <w:lastRenderedPageBreak/>
        <w:t xml:space="preserve">declared in breach of </w:t>
      </w:r>
      <w:r w:rsidRPr="006F6BAA">
        <w:rPr>
          <w:rFonts w:eastAsiaTheme="minorHAnsi"/>
          <w:b/>
          <w:sz w:val="24"/>
          <w:szCs w:val="24"/>
        </w:rPr>
        <w:t>social security</w:t>
      </w:r>
      <w:r w:rsidRPr="006F6BAA">
        <w:rPr>
          <w:rFonts w:eastAsiaTheme="minorHAnsi"/>
          <w:sz w:val="24"/>
          <w:szCs w:val="24"/>
        </w:rPr>
        <w:t xml:space="preserve"> or </w:t>
      </w:r>
      <w:r w:rsidRPr="006F6BAA">
        <w:rPr>
          <w:rFonts w:eastAsiaTheme="minorHAnsi"/>
          <w:b/>
          <w:sz w:val="24"/>
          <w:szCs w:val="24"/>
        </w:rPr>
        <w:t xml:space="preserve">tax </w:t>
      </w:r>
      <w:r w:rsidRPr="006F6BAA">
        <w:rPr>
          <w:rFonts w:eastAsiaTheme="minorHAnsi"/>
          <w:sz w:val="24"/>
          <w:szCs w:val="24"/>
        </w:rPr>
        <w:t>obligations by a final judgment or decision (including persons with unlimited liability for its debts);</w:t>
      </w:r>
    </w:p>
    <w:p w:rsidR="00E76D82" w:rsidRPr="006F6BAA" w:rsidRDefault="00E76D82" w:rsidP="005259CF">
      <w:pPr>
        <w:numPr>
          <w:ilvl w:val="0"/>
          <w:numId w:val="26"/>
        </w:numPr>
        <w:spacing w:after="200"/>
        <w:contextualSpacing/>
        <w:jc w:val="both"/>
        <w:rPr>
          <w:rFonts w:eastAsiaTheme="minorHAnsi"/>
          <w:sz w:val="24"/>
          <w:szCs w:val="24"/>
        </w:rPr>
      </w:pPr>
      <w:r w:rsidRPr="006F6BAA">
        <w:rPr>
          <w:rFonts w:eastAsiaTheme="minorHAnsi"/>
          <w:sz w:val="24"/>
          <w:szCs w:val="24"/>
        </w:rPr>
        <w:t xml:space="preserve">found guilty of grave </w:t>
      </w:r>
      <w:r w:rsidRPr="006F6BAA">
        <w:rPr>
          <w:rFonts w:eastAsiaTheme="minorHAnsi"/>
          <w:b/>
          <w:sz w:val="24"/>
          <w:szCs w:val="24"/>
        </w:rPr>
        <w:t>professional misconduct</w:t>
      </w:r>
      <w:r w:rsidRPr="006F6BAA">
        <w:rPr>
          <w:rFonts w:eastAsiaTheme="minorHAnsi"/>
          <w:sz w:val="24"/>
          <w:szCs w:val="24"/>
          <w:vertAlign w:val="superscript"/>
        </w:rPr>
        <w:footnoteReference w:id="27"/>
      </w:r>
      <w:r w:rsidRPr="006F6BAA">
        <w:rPr>
          <w:rFonts w:eastAsiaTheme="minorHAnsi"/>
          <w:sz w:val="24"/>
          <w:szCs w:val="24"/>
        </w:rPr>
        <w:t xml:space="preserve"> by a final judgment or decision (including persons having powers of representation, decision-making or control);</w:t>
      </w:r>
    </w:p>
    <w:p w:rsidR="00E76D82" w:rsidRPr="006F6BAA" w:rsidRDefault="00E76D82" w:rsidP="005259CF">
      <w:pPr>
        <w:numPr>
          <w:ilvl w:val="0"/>
          <w:numId w:val="26"/>
        </w:numPr>
        <w:spacing w:after="200"/>
        <w:contextualSpacing/>
        <w:jc w:val="both"/>
        <w:rPr>
          <w:rFonts w:eastAsiaTheme="minorHAnsi"/>
          <w:sz w:val="24"/>
          <w:szCs w:val="24"/>
        </w:rPr>
      </w:pPr>
      <w:r w:rsidRPr="006F6BAA">
        <w:rPr>
          <w:rFonts w:eastAsiaTheme="minorHAnsi"/>
          <w:sz w:val="24"/>
          <w:szCs w:val="24"/>
        </w:rPr>
        <w:t xml:space="preserve">convicted of fraud, corruption, involvement in a </w:t>
      </w:r>
      <w:r w:rsidRPr="006F6BAA">
        <w:rPr>
          <w:rFonts w:eastAsiaTheme="minorHAnsi"/>
          <w:b/>
          <w:sz w:val="24"/>
          <w:szCs w:val="24"/>
        </w:rPr>
        <w:t>criminal</w:t>
      </w:r>
      <w:r w:rsidRPr="006F6BAA">
        <w:rPr>
          <w:rFonts w:eastAsiaTheme="minorHAnsi"/>
          <w:sz w:val="24"/>
          <w:szCs w:val="24"/>
        </w:rPr>
        <w:t xml:space="preserve"> organisation, money laundering, terrorism-related crimes (including terrorism financing), child labour or human trafficking (including persons having powers of representation, decision-making or control);</w:t>
      </w:r>
    </w:p>
    <w:p w:rsidR="00E76D82" w:rsidRPr="006F6BAA" w:rsidRDefault="00E76D82" w:rsidP="005259CF">
      <w:pPr>
        <w:numPr>
          <w:ilvl w:val="0"/>
          <w:numId w:val="26"/>
        </w:numPr>
        <w:spacing w:after="200"/>
        <w:contextualSpacing/>
        <w:jc w:val="both"/>
        <w:rPr>
          <w:rFonts w:eastAsiaTheme="minorHAnsi"/>
          <w:sz w:val="24"/>
          <w:szCs w:val="24"/>
        </w:rPr>
      </w:pPr>
      <w:r w:rsidRPr="006F6BAA">
        <w:rPr>
          <w:rFonts w:eastAsiaTheme="minorHAnsi"/>
          <w:sz w:val="24"/>
          <w:szCs w:val="24"/>
        </w:rPr>
        <w:t>shown significant deficiencies in complying with main obligations under a procurement contract, grant agreement or grant decision financed by the EU or Euratom budget (including persons having powers of representation, decision</w:t>
      </w:r>
      <w:r w:rsidRPr="006F6BAA">
        <w:rPr>
          <w:rFonts w:eastAsiaTheme="minorHAnsi"/>
          <w:sz w:val="24"/>
          <w:szCs w:val="24"/>
        </w:rPr>
        <w:noBreakHyphen/>
        <w:t>making or control);</w:t>
      </w:r>
    </w:p>
    <w:p w:rsidR="00E76D82" w:rsidRPr="006F6BAA" w:rsidRDefault="00E76D82" w:rsidP="005259CF">
      <w:pPr>
        <w:numPr>
          <w:ilvl w:val="0"/>
          <w:numId w:val="26"/>
        </w:numPr>
        <w:spacing w:after="200"/>
        <w:contextualSpacing/>
        <w:jc w:val="both"/>
        <w:rPr>
          <w:rFonts w:eastAsiaTheme="minorHAnsi"/>
          <w:sz w:val="24"/>
          <w:szCs w:val="24"/>
        </w:rPr>
      </w:pPr>
      <w:proofErr w:type="gramStart"/>
      <w:r w:rsidRPr="006F6BAA">
        <w:rPr>
          <w:rFonts w:eastAsiaTheme="minorHAnsi"/>
          <w:sz w:val="24"/>
          <w:szCs w:val="24"/>
        </w:rPr>
        <w:t>found</w:t>
      </w:r>
      <w:proofErr w:type="gramEnd"/>
      <w:r w:rsidRPr="006F6BAA">
        <w:rPr>
          <w:rFonts w:eastAsiaTheme="minorHAnsi"/>
          <w:sz w:val="24"/>
          <w:szCs w:val="24"/>
        </w:rPr>
        <w:t xml:space="preserve"> guilty of irregularities within the meaning of Article 1(2) of Regulation No 2988/95 (including persons having powers of representation, decision</w:t>
      </w:r>
      <w:r w:rsidRPr="006F6BAA">
        <w:rPr>
          <w:rFonts w:eastAsiaTheme="minorHAnsi"/>
          <w:sz w:val="24"/>
          <w:szCs w:val="24"/>
        </w:rPr>
        <w:noBreakHyphen/>
        <w:t>making or control).</w:t>
      </w:r>
    </w:p>
    <w:p w:rsidR="00FB57B8" w:rsidRDefault="00FB57B8" w:rsidP="00FB57B8">
      <w:pPr>
        <w:jc w:val="both"/>
        <w:rPr>
          <w:rFonts w:eastAsiaTheme="minorHAnsi"/>
          <w:sz w:val="24"/>
          <w:szCs w:val="24"/>
        </w:rPr>
      </w:pPr>
    </w:p>
    <w:p w:rsidR="00E76D82" w:rsidRPr="006F6BAA" w:rsidRDefault="00E76D82" w:rsidP="00FB57B8">
      <w:pPr>
        <w:jc w:val="both"/>
        <w:rPr>
          <w:rFonts w:eastAsiaTheme="minorHAnsi"/>
          <w:sz w:val="24"/>
          <w:szCs w:val="24"/>
        </w:rPr>
      </w:pPr>
      <w:r w:rsidRPr="006F6BAA">
        <w:rPr>
          <w:rFonts w:eastAsiaTheme="minorHAnsi"/>
          <w:sz w:val="24"/>
          <w:szCs w:val="24"/>
        </w:rPr>
        <w:t xml:space="preserve">The verification of this requirement will be made by the Commission </w:t>
      </w:r>
      <w:r w:rsidRPr="006F6BAA">
        <w:rPr>
          <w:rFonts w:eastAsiaTheme="minorHAnsi"/>
          <w:b/>
          <w:sz w:val="24"/>
          <w:szCs w:val="24"/>
        </w:rPr>
        <w:t>after</w:t>
      </w:r>
      <w:r w:rsidRPr="006F6BAA">
        <w:rPr>
          <w:rFonts w:eastAsiaTheme="minorHAnsi"/>
          <w:sz w:val="24"/>
          <w:szCs w:val="24"/>
        </w:rPr>
        <w:t xml:space="preserve"> the Evaluation Committee has adopted the lists of applicants it recommends for the award of a grant</w:t>
      </w:r>
      <w:r w:rsidRPr="006F6BAA">
        <w:rPr>
          <w:rFonts w:eastAsiaTheme="minorHAnsi"/>
          <w:bCs/>
          <w:sz w:val="24"/>
          <w:szCs w:val="24"/>
        </w:rPr>
        <w:t xml:space="preserve">. The applicant has to fill in the declaration that will be made available on the </w:t>
      </w:r>
      <w:r w:rsidR="00FB57B8">
        <w:rPr>
          <w:rFonts w:eastAsiaTheme="minorHAnsi"/>
          <w:bCs/>
          <w:sz w:val="24"/>
          <w:szCs w:val="24"/>
        </w:rPr>
        <w:t>Participant Portal</w:t>
      </w:r>
      <w:r w:rsidRPr="006F6BAA">
        <w:rPr>
          <w:rFonts w:eastAsiaTheme="minorHAnsi"/>
          <w:bCs/>
          <w:sz w:val="24"/>
          <w:szCs w:val="24"/>
        </w:rPr>
        <w:t>.</w:t>
      </w:r>
    </w:p>
    <w:p w:rsidR="00A02D45" w:rsidRPr="006F6BAA" w:rsidRDefault="00A02D45" w:rsidP="00A02D45">
      <w:pPr>
        <w:jc w:val="both"/>
        <w:rPr>
          <w:sz w:val="24"/>
          <w:szCs w:val="24"/>
        </w:rPr>
      </w:pPr>
    </w:p>
    <w:p w:rsidR="00561C01" w:rsidRPr="006F6BAA" w:rsidRDefault="002B797F" w:rsidP="00DA0516">
      <w:pPr>
        <w:pStyle w:val="Heading2"/>
        <w:rPr>
          <w:sz w:val="24"/>
          <w:szCs w:val="24"/>
        </w:rPr>
      </w:pPr>
      <w:bookmarkStart w:id="253" w:name="_Toc484788381"/>
      <w:r w:rsidRPr="006F6BAA">
        <w:rPr>
          <w:sz w:val="24"/>
          <w:szCs w:val="24"/>
        </w:rPr>
        <w:t xml:space="preserve">7.4      </w:t>
      </w:r>
      <w:r w:rsidR="00AC12CA" w:rsidRPr="006F6BAA">
        <w:rPr>
          <w:sz w:val="24"/>
          <w:szCs w:val="24"/>
        </w:rPr>
        <w:t>Selection criteria</w:t>
      </w:r>
      <w:bookmarkStart w:id="254" w:name="_Toc388000966"/>
      <w:bookmarkStart w:id="255" w:name="_Toc388001264"/>
      <w:bookmarkStart w:id="256" w:name="_Toc388000967"/>
      <w:bookmarkStart w:id="257" w:name="_Toc388001265"/>
      <w:bookmarkStart w:id="258" w:name="_Toc388000968"/>
      <w:bookmarkStart w:id="259" w:name="_Toc388001266"/>
      <w:bookmarkStart w:id="260" w:name="_Toc373333120"/>
      <w:bookmarkStart w:id="261" w:name="_Toc373500864"/>
      <w:bookmarkStart w:id="262" w:name="_Toc373501141"/>
      <w:bookmarkStart w:id="263" w:name="_Toc388000970"/>
      <w:bookmarkStart w:id="264" w:name="_Toc388001268"/>
      <w:bookmarkEnd w:id="254"/>
      <w:bookmarkEnd w:id="255"/>
      <w:bookmarkEnd w:id="256"/>
      <w:bookmarkEnd w:id="257"/>
      <w:bookmarkEnd w:id="258"/>
      <w:bookmarkEnd w:id="259"/>
      <w:bookmarkEnd w:id="260"/>
      <w:bookmarkEnd w:id="261"/>
      <w:bookmarkEnd w:id="262"/>
      <w:bookmarkEnd w:id="263"/>
      <w:bookmarkEnd w:id="264"/>
      <w:r w:rsidR="00A74F4F" w:rsidRPr="006F6BAA">
        <w:rPr>
          <w:sz w:val="24"/>
          <w:szCs w:val="24"/>
          <w:vertAlign w:val="superscript"/>
        </w:rPr>
        <w:footnoteReference w:id="28"/>
      </w:r>
      <w:bookmarkEnd w:id="253"/>
      <w:r w:rsidR="00A74F4F" w:rsidRPr="006F6BAA">
        <w:rPr>
          <w:sz w:val="24"/>
          <w:szCs w:val="24"/>
        </w:rPr>
        <w:tab/>
      </w:r>
    </w:p>
    <w:p w:rsidR="002C22DE" w:rsidRPr="006F6BAA" w:rsidRDefault="002C22DE" w:rsidP="002C22DE">
      <w:pPr>
        <w:jc w:val="both"/>
        <w:rPr>
          <w:rFonts w:eastAsiaTheme="minorHAnsi"/>
          <w:sz w:val="24"/>
          <w:szCs w:val="24"/>
        </w:rPr>
      </w:pPr>
      <w:r w:rsidRPr="006F6BAA">
        <w:rPr>
          <w:rFonts w:eastAsiaTheme="minorHAnsi"/>
          <w:sz w:val="24"/>
          <w:szCs w:val="24"/>
        </w:rPr>
        <w:t xml:space="preserve">After verification of the eligibility criteria, the Evaluation Committee will examine each application to verify the </w:t>
      </w:r>
      <w:r w:rsidRPr="006F6BAA">
        <w:rPr>
          <w:rFonts w:eastAsiaTheme="minorHAnsi"/>
          <w:b/>
          <w:sz w:val="24"/>
          <w:szCs w:val="24"/>
        </w:rPr>
        <w:t>operational and technical capacity</w:t>
      </w:r>
      <w:r w:rsidRPr="006F6BAA">
        <w:rPr>
          <w:rFonts w:eastAsiaTheme="minorHAnsi"/>
          <w:sz w:val="24"/>
          <w:szCs w:val="24"/>
        </w:rPr>
        <w:t xml:space="preserve"> of the applicant to implement the action proposed in the application. </w:t>
      </w:r>
      <w:r w:rsidRPr="006F6BAA">
        <w:rPr>
          <w:rFonts w:eastAsiaTheme="minorHAnsi"/>
          <w:noProof/>
          <w:sz w:val="24"/>
          <w:szCs w:val="24"/>
        </w:rPr>
        <w:t xml:space="preserve">The applicant shall demonstrate that it has the </w:t>
      </w:r>
      <w:r w:rsidRPr="006F6BAA">
        <w:rPr>
          <w:rFonts w:eastAsiaTheme="minorHAnsi"/>
          <w:b/>
          <w:noProof/>
          <w:sz w:val="24"/>
          <w:szCs w:val="24"/>
        </w:rPr>
        <w:t>operational resources</w:t>
      </w:r>
      <w:r w:rsidRPr="006F6BAA">
        <w:rPr>
          <w:rFonts w:eastAsiaTheme="minorHAnsi"/>
          <w:noProof/>
          <w:sz w:val="24"/>
          <w:szCs w:val="24"/>
        </w:rPr>
        <w:t xml:space="preserve"> (technical, management) and that its staff has the </w:t>
      </w:r>
      <w:r w:rsidRPr="006F6BAA">
        <w:rPr>
          <w:rFonts w:eastAsiaTheme="minorHAnsi"/>
          <w:b/>
          <w:noProof/>
          <w:sz w:val="24"/>
          <w:szCs w:val="24"/>
        </w:rPr>
        <w:t>professional skills, competences and qualifications</w:t>
      </w:r>
      <w:r w:rsidRPr="006F6BAA">
        <w:rPr>
          <w:rFonts w:eastAsiaTheme="minorHAnsi"/>
          <w:noProof/>
          <w:sz w:val="24"/>
          <w:szCs w:val="24"/>
        </w:rPr>
        <w:t xml:space="preserve"> needed to successfully implement the proposed action. The applicant's staff must have a confirmed experience in the domain for which it proposes the action. </w:t>
      </w:r>
      <w:r w:rsidRPr="006F6BAA">
        <w:rPr>
          <w:rFonts w:eastAsiaTheme="minorHAnsi"/>
          <w:sz w:val="24"/>
          <w:szCs w:val="24"/>
        </w:rPr>
        <w:t xml:space="preserve">This has to be demonstrated by providing the following information in the relevant sections of the </w:t>
      </w:r>
      <w:r w:rsidR="00FB57B8">
        <w:rPr>
          <w:rFonts w:eastAsiaTheme="minorHAnsi"/>
          <w:sz w:val="24"/>
          <w:szCs w:val="24"/>
        </w:rPr>
        <w:t>application form</w:t>
      </w:r>
      <w:r w:rsidRPr="006F6BAA">
        <w:rPr>
          <w:rFonts w:eastAsiaTheme="minorHAnsi"/>
          <w:sz w:val="24"/>
          <w:szCs w:val="24"/>
        </w:rPr>
        <w:t>:</w:t>
      </w:r>
    </w:p>
    <w:p w:rsidR="002C22DE" w:rsidRPr="006F6BAA" w:rsidRDefault="002C22DE" w:rsidP="002C22DE">
      <w:pPr>
        <w:jc w:val="both"/>
        <w:rPr>
          <w:rFonts w:eastAsiaTheme="minorHAnsi"/>
          <w:sz w:val="24"/>
          <w:szCs w:val="24"/>
        </w:rPr>
      </w:pPr>
    </w:p>
    <w:p w:rsidR="002C22DE" w:rsidRPr="006F6BAA" w:rsidRDefault="002C22DE" w:rsidP="00FB57B8">
      <w:pPr>
        <w:numPr>
          <w:ilvl w:val="0"/>
          <w:numId w:val="27"/>
        </w:numPr>
        <w:ind w:left="360"/>
        <w:jc w:val="both"/>
        <w:rPr>
          <w:rFonts w:eastAsiaTheme="minorHAnsi"/>
          <w:sz w:val="24"/>
          <w:szCs w:val="24"/>
        </w:rPr>
      </w:pPr>
      <w:r w:rsidRPr="006F6BAA">
        <w:rPr>
          <w:rFonts w:eastAsiaTheme="minorHAnsi"/>
          <w:sz w:val="24"/>
          <w:szCs w:val="24"/>
        </w:rPr>
        <w:t>a short description of the applicant's main activities and the inclusion of an organisation chart of the organisation;</w:t>
      </w:r>
    </w:p>
    <w:p w:rsidR="002C22DE" w:rsidRPr="006F6BAA" w:rsidRDefault="002C22DE" w:rsidP="00FB57B8">
      <w:pPr>
        <w:numPr>
          <w:ilvl w:val="0"/>
          <w:numId w:val="27"/>
        </w:numPr>
        <w:ind w:left="360"/>
        <w:jc w:val="both"/>
        <w:rPr>
          <w:rFonts w:eastAsiaTheme="minorHAnsi"/>
          <w:sz w:val="24"/>
          <w:szCs w:val="24"/>
        </w:rPr>
      </w:pPr>
      <w:r w:rsidRPr="006F6BAA">
        <w:rPr>
          <w:rFonts w:eastAsiaTheme="minorHAnsi"/>
          <w:sz w:val="24"/>
          <w:szCs w:val="24"/>
        </w:rPr>
        <w:t>an exhaustive list of received EU grants during the last 3 years (2014-2016);</w:t>
      </w:r>
    </w:p>
    <w:p w:rsidR="002C22DE" w:rsidRPr="006F6BAA" w:rsidRDefault="002C22DE" w:rsidP="00FB57B8">
      <w:pPr>
        <w:numPr>
          <w:ilvl w:val="0"/>
          <w:numId w:val="27"/>
        </w:numPr>
        <w:ind w:left="360"/>
        <w:jc w:val="both"/>
        <w:rPr>
          <w:rFonts w:eastAsiaTheme="minorHAnsi"/>
          <w:sz w:val="24"/>
          <w:szCs w:val="24"/>
        </w:rPr>
      </w:pPr>
      <w:r w:rsidRPr="006F6BAA">
        <w:rPr>
          <w:rFonts w:eastAsiaTheme="minorHAnsi"/>
          <w:sz w:val="24"/>
          <w:szCs w:val="24"/>
        </w:rPr>
        <w:t xml:space="preserve">a short description of the team and its members that will be tasked with the implementation of the action, the allocation of tasks within the team and a description of the </w:t>
      </w:r>
      <w:r w:rsidRPr="006F6BAA">
        <w:rPr>
          <w:rFonts w:eastAsiaTheme="minorHAnsi"/>
          <w:b/>
          <w:sz w:val="24"/>
          <w:szCs w:val="24"/>
        </w:rPr>
        <w:t>relevant competences</w:t>
      </w:r>
      <w:r w:rsidRPr="006F6BAA">
        <w:rPr>
          <w:rFonts w:eastAsiaTheme="minorHAnsi"/>
          <w:sz w:val="24"/>
          <w:szCs w:val="24"/>
        </w:rPr>
        <w:t xml:space="preserve"> of the team members;</w:t>
      </w:r>
    </w:p>
    <w:p w:rsidR="002C22DE" w:rsidRPr="006F6BAA" w:rsidRDefault="002C22DE" w:rsidP="00FB57B8">
      <w:pPr>
        <w:numPr>
          <w:ilvl w:val="0"/>
          <w:numId w:val="27"/>
        </w:numPr>
        <w:ind w:left="360"/>
        <w:jc w:val="both"/>
        <w:rPr>
          <w:rFonts w:eastAsiaTheme="minorHAnsi"/>
          <w:sz w:val="24"/>
          <w:szCs w:val="24"/>
        </w:rPr>
      </w:pPr>
      <w:proofErr w:type="gramStart"/>
      <w:r w:rsidRPr="006F6BAA">
        <w:rPr>
          <w:sz w:val="24"/>
          <w:szCs w:val="24"/>
        </w:rPr>
        <w:t>a</w:t>
      </w:r>
      <w:proofErr w:type="gramEnd"/>
      <w:r w:rsidRPr="006F6BAA">
        <w:rPr>
          <w:sz w:val="24"/>
          <w:szCs w:val="24"/>
        </w:rPr>
        <w:t xml:space="preserve"> list of projects carried out by the applicant that relate to the Hercule III programme’s objectives (if applicable).</w:t>
      </w:r>
    </w:p>
    <w:p w:rsidR="002C22DE" w:rsidRPr="006F6BAA" w:rsidRDefault="002C22DE" w:rsidP="002C22DE">
      <w:pPr>
        <w:jc w:val="both"/>
        <w:rPr>
          <w:rFonts w:eastAsiaTheme="minorHAnsi"/>
          <w:b/>
          <w:sz w:val="24"/>
          <w:szCs w:val="24"/>
        </w:rPr>
      </w:pPr>
    </w:p>
    <w:p w:rsidR="002C22DE" w:rsidRPr="006F6BAA" w:rsidRDefault="002C22DE" w:rsidP="002C22DE">
      <w:pPr>
        <w:jc w:val="both"/>
        <w:rPr>
          <w:rFonts w:eastAsiaTheme="minorHAnsi"/>
          <w:bCs/>
          <w:sz w:val="24"/>
          <w:szCs w:val="24"/>
        </w:rPr>
      </w:pPr>
      <w:r w:rsidRPr="006F6BAA">
        <w:rPr>
          <w:rFonts w:eastAsiaTheme="minorHAnsi"/>
          <w:bCs/>
          <w:sz w:val="24"/>
          <w:szCs w:val="24"/>
        </w:rPr>
        <w:lastRenderedPageBreak/>
        <w:t xml:space="preserve">The examination of the </w:t>
      </w:r>
      <w:r w:rsidRPr="006F6BAA">
        <w:rPr>
          <w:rFonts w:eastAsiaTheme="minorHAnsi"/>
          <w:b/>
          <w:bCs/>
          <w:sz w:val="24"/>
          <w:szCs w:val="24"/>
        </w:rPr>
        <w:t>financial</w:t>
      </w:r>
      <w:r w:rsidRPr="006F6BAA">
        <w:rPr>
          <w:rFonts w:eastAsiaTheme="minorHAnsi"/>
          <w:bCs/>
          <w:sz w:val="24"/>
          <w:szCs w:val="24"/>
        </w:rPr>
        <w:t xml:space="preserve"> capacity of the applicant will be carried out by the Commission </w:t>
      </w:r>
      <w:r w:rsidRPr="006F6BAA">
        <w:rPr>
          <w:rFonts w:eastAsiaTheme="minorHAnsi"/>
          <w:b/>
          <w:sz w:val="24"/>
          <w:szCs w:val="24"/>
        </w:rPr>
        <w:t>after</w:t>
      </w:r>
      <w:r w:rsidRPr="006F6BAA">
        <w:rPr>
          <w:rFonts w:eastAsiaTheme="minorHAnsi"/>
          <w:sz w:val="24"/>
          <w:szCs w:val="24"/>
        </w:rPr>
        <w:t xml:space="preserve"> the Evaluation Committee has adopted the lists of applicants it recommends for the award of a grant</w:t>
      </w:r>
      <w:r w:rsidRPr="006F6BAA">
        <w:rPr>
          <w:rFonts w:eastAsiaTheme="minorHAnsi"/>
          <w:bCs/>
          <w:sz w:val="24"/>
          <w:szCs w:val="24"/>
        </w:rPr>
        <w:t>.</w:t>
      </w:r>
    </w:p>
    <w:p w:rsidR="00BB6A59" w:rsidRPr="006F6BAA" w:rsidRDefault="00BB6A59" w:rsidP="009C7533">
      <w:pPr>
        <w:jc w:val="both"/>
        <w:rPr>
          <w:sz w:val="24"/>
          <w:szCs w:val="24"/>
        </w:rPr>
      </w:pPr>
      <w:bookmarkStart w:id="265" w:name="_Toc420418679"/>
      <w:bookmarkStart w:id="266" w:name="_Toc420418680"/>
      <w:bookmarkEnd w:id="265"/>
      <w:bookmarkEnd w:id="266"/>
    </w:p>
    <w:p w:rsidR="00845774" w:rsidRPr="006F6BAA" w:rsidRDefault="00FE4ACC" w:rsidP="00DA0516">
      <w:pPr>
        <w:pStyle w:val="Heading2"/>
        <w:rPr>
          <w:sz w:val="24"/>
          <w:szCs w:val="24"/>
        </w:rPr>
      </w:pPr>
      <w:bookmarkStart w:id="267" w:name="_Toc388619375"/>
      <w:bookmarkStart w:id="268" w:name="_Toc484788382"/>
      <w:r w:rsidRPr="006F6BAA">
        <w:rPr>
          <w:sz w:val="24"/>
          <w:szCs w:val="24"/>
        </w:rPr>
        <w:t xml:space="preserve">7.5     </w:t>
      </w:r>
      <w:r w:rsidR="0077301C" w:rsidRPr="006F6BAA">
        <w:rPr>
          <w:sz w:val="24"/>
          <w:szCs w:val="24"/>
        </w:rPr>
        <w:t>Award criteria</w:t>
      </w:r>
      <w:bookmarkEnd w:id="267"/>
      <w:r w:rsidR="005B2AC1" w:rsidRPr="006F6BAA">
        <w:rPr>
          <w:sz w:val="24"/>
          <w:szCs w:val="24"/>
          <w:vertAlign w:val="superscript"/>
        </w:rPr>
        <w:footnoteReference w:id="29"/>
      </w:r>
      <w:bookmarkEnd w:id="268"/>
    </w:p>
    <w:p w:rsidR="00C81571" w:rsidRPr="006F6BAA" w:rsidRDefault="00C81571" w:rsidP="00643380">
      <w:pPr>
        <w:tabs>
          <w:tab w:val="left" w:pos="0"/>
        </w:tabs>
        <w:autoSpaceDE w:val="0"/>
        <w:autoSpaceDN w:val="0"/>
        <w:adjustRightInd w:val="0"/>
        <w:jc w:val="both"/>
        <w:rPr>
          <w:sz w:val="24"/>
          <w:szCs w:val="24"/>
        </w:rPr>
      </w:pPr>
      <w:r w:rsidRPr="006F6BAA">
        <w:rPr>
          <w:sz w:val="24"/>
          <w:szCs w:val="24"/>
        </w:rPr>
        <w:t>The action proposed in the application has to fall in on</w:t>
      </w:r>
      <w:r w:rsidR="00307894" w:rsidRPr="006F6BAA">
        <w:rPr>
          <w:sz w:val="24"/>
          <w:szCs w:val="24"/>
        </w:rPr>
        <w:t>e of the categories mentioned under</w:t>
      </w:r>
      <w:r w:rsidRPr="006F6BAA">
        <w:rPr>
          <w:sz w:val="24"/>
          <w:szCs w:val="24"/>
        </w:rPr>
        <w:t xml:space="preserve"> point 2.1 (Eligible actions), and will be examined on the basis of the following weighted award criteria (weight factors are indicated between </w:t>
      </w:r>
      <w:r w:rsidR="002D35F4" w:rsidRPr="006F6BAA">
        <w:rPr>
          <w:sz w:val="24"/>
          <w:szCs w:val="24"/>
        </w:rPr>
        <w:t>parentheses</w:t>
      </w:r>
      <w:r w:rsidRPr="006F6BAA">
        <w:rPr>
          <w:sz w:val="24"/>
          <w:szCs w:val="24"/>
        </w:rPr>
        <w:t>):</w:t>
      </w:r>
    </w:p>
    <w:p w:rsidR="00A0039C" w:rsidRPr="006F6BAA" w:rsidRDefault="00A0039C" w:rsidP="00643380">
      <w:pPr>
        <w:tabs>
          <w:tab w:val="left" w:pos="0"/>
        </w:tabs>
        <w:autoSpaceDE w:val="0"/>
        <w:autoSpaceDN w:val="0"/>
        <w:adjustRightInd w:val="0"/>
        <w:jc w:val="both"/>
        <w:rPr>
          <w:sz w:val="24"/>
          <w:szCs w:val="24"/>
        </w:rPr>
      </w:pPr>
    </w:p>
    <w:p w:rsidR="00A0039C" w:rsidRPr="006F6BAA" w:rsidRDefault="00C81571" w:rsidP="00DA7CA1">
      <w:pPr>
        <w:pStyle w:val="ListParagraph"/>
        <w:numPr>
          <w:ilvl w:val="0"/>
          <w:numId w:val="22"/>
        </w:numPr>
        <w:tabs>
          <w:tab w:val="left" w:pos="0"/>
        </w:tabs>
        <w:autoSpaceDE w:val="0"/>
        <w:autoSpaceDN w:val="0"/>
        <w:adjustRightInd w:val="0"/>
        <w:jc w:val="both"/>
        <w:rPr>
          <w:b/>
          <w:sz w:val="24"/>
          <w:szCs w:val="24"/>
        </w:rPr>
      </w:pPr>
      <w:r w:rsidRPr="006F6BAA">
        <w:rPr>
          <w:b/>
          <w:sz w:val="24"/>
          <w:szCs w:val="24"/>
        </w:rPr>
        <w:t xml:space="preserve">Added value </w:t>
      </w:r>
      <w:r w:rsidRPr="006F6BAA">
        <w:rPr>
          <w:sz w:val="24"/>
          <w:szCs w:val="24"/>
        </w:rPr>
        <w:t xml:space="preserve">of the </w:t>
      </w:r>
      <w:r w:rsidR="00A060FA" w:rsidRPr="006F6BAA">
        <w:rPr>
          <w:sz w:val="24"/>
          <w:szCs w:val="24"/>
        </w:rPr>
        <w:t xml:space="preserve">implementation of the action </w:t>
      </w:r>
      <w:r w:rsidRPr="006F6BAA">
        <w:rPr>
          <w:sz w:val="24"/>
          <w:szCs w:val="24"/>
        </w:rPr>
        <w:t>for the protection of the financial interests of the Union</w:t>
      </w:r>
      <w:r w:rsidRPr="006F6BAA">
        <w:rPr>
          <w:b/>
          <w:sz w:val="24"/>
          <w:szCs w:val="24"/>
        </w:rPr>
        <w:t xml:space="preserve"> </w:t>
      </w:r>
      <w:r w:rsidR="00886D0A" w:rsidRPr="006F6BAA">
        <w:rPr>
          <w:sz w:val="24"/>
          <w:szCs w:val="24"/>
        </w:rPr>
        <w:t xml:space="preserve">and the contribution it will make to the achievement of the general and specific objectives of the Hercule III Programme </w:t>
      </w:r>
      <w:r w:rsidRPr="006F6BAA">
        <w:rPr>
          <w:sz w:val="24"/>
          <w:szCs w:val="24"/>
        </w:rPr>
        <w:t>(4);</w:t>
      </w:r>
    </w:p>
    <w:p w:rsidR="00A0039C" w:rsidRPr="006F6BAA" w:rsidRDefault="00C81571" w:rsidP="00DA7CA1">
      <w:pPr>
        <w:pStyle w:val="ListParagraph"/>
        <w:numPr>
          <w:ilvl w:val="0"/>
          <w:numId w:val="22"/>
        </w:numPr>
        <w:tabs>
          <w:tab w:val="left" w:pos="0"/>
        </w:tabs>
        <w:autoSpaceDE w:val="0"/>
        <w:autoSpaceDN w:val="0"/>
        <w:adjustRightInd w:val="0"/>
        <w:jc w:val="both"/>
        <w:rPr>
          <w:b/>
          <w:sz w:val="24"/>
          <w:szCs w:val="24"/>
        </w:rPr>
      </w:pPr>
      <w:r w:rsidRPr="006F6BAA">
        <w:rPr>
          <w:b/>
          <w:sz w:val="24"/>
          <w:szCs w:val="24"/>
        </w:rPr>
        <w:t xml:space="preserve">Conformity with the operational objectives </w:t>
      </w:r>
      <w:r w:rsidRPr="006F6BAA">
        <w:rPr>
          <w:sz w:val="24"/>
          <w:szCs w:val="24"/>
        </w:rPr>
        <w:t>of the Programme</w:t>
      </w:r>
      <w:r w:rsidRPr="006F6BAA">
        <w:rPr>
          <w:b/>
          <w:sz w:val="24"/>
          <w:szCs w:val="24"/>
        </w:rPr>
        <w:t xml:space="preserve"> </w:t>
      </w:r>
      <w:r w:rsidRPr="006F6BAA">
        <w:rPr>
          <w:sz w:val="24"/>
          <w:szCs w:val="24"/>
        </w:rPr>
        <w:t>(2):</w:t>
      </w:r>
      <w:r w:rsidRPr="006F6BAA">
        <w:rPr>
          <w:b/>
          <w:sz w:val="24"/>
          <w:szCs w:val="24"/>
        </w:rPr>
        <w:t xml:space="preserve"> </w:t>
      </w:r>
      <w:r w:rsidRPr="006F6BAA">
        <w:rPr>
          <w:sz w:val="24"/>
          <w:szCs w:val="24"/>
        </w:rPr>
        <w:t>Conformity of the</w:t>
      </w:r>
      <w:r w:rsidR="00A060FA" w:rsidRPr="006F6BAA">
        <w:rPr>
          <w:sz w:val="24"/>
          <w:szCs w:val="24"/>
        </w:rPr>
        <w:t xml:space="preserve"> aims of the</w:t>
      </w:r>
      <w:r w:rsidRPr="006F6BAA">
        <w:rPr>
          <w:sz w:val="24"/>
          <w:szCs w:val="24"/>
        </w:rPr>
        <w:t xml:space="preserve"> action to</w:t>
      </w:r>
      <w:r w:rsidR="00A060FA" w:rsidRPr="006F6BAA">
        <w:rPr>
          <w:sz w:val="24"/>
          <w:szCs w:val="24"/>
        </w:rPr>
        <w:t xml:space="preserve"> one or more of</w:t>
      </w:r>
      <w:r w:rsidRPr="006F6BAA">
        <w:rPr>
          <w:sz w:val="24"/>
          <w:szCs w:val="24"/>
        </w:rPr>
        <w:t xml:space="preserve"> the operational objective</w:t>
      </w:r>
      <w:r w:rsidR="006430CA" w:rsidRPr="006F6BAA">
        <w:rPr>
          <w:sz w:val="24"/>
          <w:szCs w:val="24"/>
        </w:rPr>
        <w:t>s, as described under point 1.2;</w:t>
      </w:r>
      <w:r w:rsidRPr="006F6BAA">
        <w:rPr>
          <w:sz w:val="24"/>
          <w:szCs w:val="24"/>
        </w:rPr>
        <w:t xml:space="preserve"> the relevance of the issues addressed by the project as well as complementarity with other Union activities;</w:t>
      </w:r>
    </w:p>
    <w:p w:rsidR="00A0039C" w:rsidRPr="006F6BAA" w:rsidRDefault="00C81571" w:rsidP="00DA7CA1">
      <w:pPr>
        <w:pStyle w:val="ListParagraph"/>
        <w:numPr>
          <w:ilvl w:val="0"/>
          <w:numId w:val="22"/>
        </w:numPr>
        <w:tabs>
          <w:tab w:val="left" w:pos="0"/>
        </w:tabs>
        <w:autoSpaceDE w:val="0"/>
        <w:autoSpaceDN w:val="0"/>
        <w:adjustRightInd w:val="0"/>
        <w:jc w:val="both"/>
        <w:rPr>
          <w:b/>
          <w:sz w:val="24"/>
          <w:szCs w:val="24"/>
        </w:rPr>
      </w:pPr>
      <w:r w:rsidRPr="006F6BAA">
        <w:rPr>
          <w:b/>
          <w:sz w:val="24"/>
          <w:szCs w:val="24"/>
        </w:rPr>
        <w:t xml:space="preserve">Quality </w:t>
      </w:r>
      <w:r w:rsidRPr="006F6BAA">
        <w:rPr>
          <w:sz w:val="24"/>
          <w:szCs w:val="24"/>
        </w:rPr>
        <w:t>(2): originality of the action; accuracy and coherence of the proposed methodology for implementing the action; organisation of work, the allocation of resources; consistency and feasibility of the planning for the implementation of the action as well as appropriateness of the envisaged activities;</w:t>
      </w:r>
    </w:p>
    <w:p w:rsidR="00C81571" w:rsidRPr="006F6BAA" w:rsidRDefault="00C81571" w:rsidP="00DA7CA1">
      <w:pPr>
        <w:pStyle w:val="ListParagraph"/>
        <w:numPr>
          <w:ilvl w:val="0"/>
          <w:numId w:val="22"/>
        </w:numPr>
        <w:tabs>
          <w:tab w:val="left" w:pos="0"/>
        </w:tabs>
        <w:autoSpaceDE w:val="0"/>
        <w:autoSpaceDN w:val="0"/>
        <w:adjustRightInd w:val="0"/>
        <w:jc w:val="both"/>
        <w:rPr>
          <w:b/>
          <w:sz w:val="24"/>
          <w:szCs w:val="24"/>
        </w:rPr>
      </w:pPr>
      <w:r w:rsidRPr="006F6BAA">
        <w:rPr>
          <w:b/>
          <w:sz w:val="24"/>
          <w:szCs w:val="24"/>
        </w:rPr>
        <w:t xml:space="preserve">Value for money </w:t>
      </w:r>
      <w:r w:rsidRPr="006F6BAA">
        <w:rPr>
          <w:sz w:val="24"/>
          <w:szCs w:val="24"/>
        </w:rPr>
        <w:t>(2)</w:t>
      </w:r>
      <w:r w:rsidR="00C577BC" w:rsidRPr="006F6BAA">
        <w:rPr>
          <w:sz w:val="24"/>
          <w:szCs w:val="24"/>
        </w:rPr>
        <w:t>.</w:t>
      </w:r>
    </w:p>
    <w:p w:rsidR="00C81571" w:rsidRPr="006F6BAA" w:rsidRDefault="00C81571" w:rsidP="00C81571">
      <w:pPr>
        <w:tabs>
          <w:tab w:val="left" w:pos="0"/>
        </w:tabs>
        <w:autoSpaceDE w:val="0"/>
        <w:autoSpaceDN w:val="0"/>
        <w:adjustRightInd w:val="0"/>
        <w:jc w:val="both"/>
        <w:rPr>
          <w:sz w:val="24"/>
          <w:szCs w:val="24"/>
        </w:rPr>
      </w:pPr>
    </w:p>
    <w:p w:rsidR="00C01F07" w:rsidRDefault="00A060FA" w:rsidP="00C81571">
      <w:pPr>
        <w:tabs>
          <w:tab w:val="left" w:pos="0"/>
        </w:tabs>
        <w:autoSpaceDE w:val="0"/>
        <w:autoSpaceDN w:val="0"/>
        <w:adjustRightInd w:val="0"/>
        <w:jc w:val="both"/>
        <w:rPr>
          <w:sz w:val="24"/>
          <w:szCs w:val="24"/>
        </w:rPr>
      </w:pPr>
      <w:r w:rsidRPr="006F6BAA">
        <w:rPr>
          <w:sz w:val="24"/>
          <w:szCs w:val="24"/>
        </w:rPr>
        <w:t xml:space="preserve">Each application will be scored on a 10 points scale for each criterion. The </w:t>
      </w:r>
      <w:r w:rsidR="00280473" w:rsidRPr="006F6BAA">
        <w:rPr>
          <w:sz w:val="24"/>
          <w:szCs w:val="24"/>
        </w:rPr>
        <w:t xml:space="preserve">individual </w:t>
      </w:r>
      <w:r w:rsidRPr="006F6BAA">
        <w:rPr>
          <w:sz w:val="24"/>
          <w:szCs w:val="24"/>
        </w:rPr>
        <w:t>score</w:t>
      </w:r>
      <w:r w:rsidR="00280473" w:rsidRPr="006F6BAA">
        <w:rPr>
          <w:sz w:val="24"/>
          <w:szCs w:val="24"/>
        </w:rPr>
        <w:t>s</w:t>
      </w:r>
      <w:r w:rsidRPr="006F6BAA">
        <w:rPr>
          <w:sz w:val="24"/>
          <w:szCs w:val="24"/>
        </w:rPr>
        <w:t xml:space="preserve"> for each criterion will be multiplied by the</w:t>
      </w:r>
      <w:r w:rsidR="00280473" w:rsidRPr="006F6BAA">
        <w:rPr>
          <w:sz w:val="24"/>
          <w:szCs w:val="24"/>
        </w:rPr>
        <w:t xml:space="preserve"> applicable</w:t>
      </w:r>
      <w:r w:rsidRPr="006F6BAA">
        <w:rPr>
          <w:sz w:val="24"/>
          <w:szCs w:val="24"/>
        </w:rPr>
        <w:t xml:space="preserve"> weight factor and added. </w:t>
      </w:r>
      <w:r w:rsidR="00280473" w:rsidRPr="006F6BAA">
        <w:rPr>
          <w:sz w:val="24"/>
          <w:szCs w:val="24"/>
        </w:rPr>
        <w:t>The minimum score for each criterion shall at least be 50% of the theoretical maximum score. The minimum score for the overall score shall be 6</w:t>
      </w:r>
      <w:r w:rsidR="005C168D" w:rsidRPr="006F6BAA">
        <w:rPr>
          <w:sz w:val="24"/>
          <w:szCs w:val="24"/>
        </w:rPr>
        <w:t>0</w:t>
      </w:r>
      <w:r w:rsidR="00280473" w:rsidRPr="006F6BAA">
        <w:rPr>
          <w:sz w:val="24"/>
          <w:szCs w:val="24"/>
        </w:rPr>
        <w:t xml:space="preserve">% of the theoretical maximum score. </w:t>
      </w:r>
      <w:r w:rsidRPr="006F6BAA">
        <w:rPr>
          <w:sz w:val="24"/>
          <w:szCs w:val="24"/>
        </w:rPr>
        <w:t xml:space="preserve">An application that </w:t>
      </w:r>
      <w:r w:rsidR="00D33E8C" w:rsidRPr="006F6BAA">
        <w:rPr>
          <w:sz w:val="24"/>
          <w:szCs w:val="24"/>
        </w:rPr>
        <w:t xml:space="preserve">does not obtain these minimum scores </w:t>
      </w:r>
      <w:r w:rsidRPr="006F6BAA">
        <w:rPr>
          <w:sz w:val="24"/>
          <w:szCs w:val="24"/>
        </w:rPr>
        <w:t xml:space="preserve">will be discarded. The applications </w:t>
      </w:r>
      <w:r w:rsidR="00AD33B4" w:rsidRPr="006F6BAA">
        <w:rPr>
          <w:sz w:val="24"/>
          <w:szCs w:val="24"/>
        </w:rPr>
        <w:t>with an aggregated</w:t>
      </w:r>
      <w:r w:rsidRPr="006F6BAA">
        <w:rPr>
          <w:sz w:val="24"/>
          <w:szCs w:val="24"/>
        </w:rPr>
        <w:t xml:space="preserve"> score equal or higher than </w:t>
      </w:r>
      <w:r w:rsidR="00F333A8" w:rsidRPr="006F6BAA">
        <w:rPr>
          <w:sz w:val="24"/>
          <w:szCs w:val="24"/>
        </w:rPr>
        <w:t>6</w:t>
      </w:r>
      <w:r w:rsidR="005C168D" w:rsidRPr="006F6BAA">
        <w:rPr>
          <w:sz w:val="24"/>
          <w:szCs w:val="24"/>
        </w:rPr>
        <w:t>0</w:t>
      </w:r>
      <w:r w:rsidR="00D04516" w:rsidRPr="006F6BAA">
        <w:rPr>
          <w:sz w:val="24"/>
          <w:szCs w:val="24"/>
        </w:rPr>
        <w:t>%</w:t>
      </w:r>
      <w:r w:rsidR="0014084F" w:rsidRPr="006F6BAA">
        <w:rPr>
          <w:sz w:val="24"/>
          <w:szCs w:val="24"/>
        </w:rPr>
        <w:t xml:space="preserve"> of</w:t>
      </w:r>
      <w:r w:rsidR="00D04516" w:rsidRPr="006F6BAA">
        <w:rPr>
          <w:sz w:val="24"/>
          <w:szCs w:val="24"/>
        </w:rPr>
        <w:t xml:space="preserve"> </w:t>
      </w:r>
      <w:r w:rsidR="0014084F" w:rsidRPr="006F6BAA">
        <w:rPr>
          <w:sz w:val="24"/>
          <w:szCs w:val="24"/>
        </w:rPr>
        <w:t>the maximum score</w:t>
      </w:r>
      <w:r w:rsidRPr="006F6BAA">
        <w:rPr>
          <w:sz w:val="24"/>
          <w:szCs w:val="24"/>
        </w:rPr>
        <w:t xml:space="preserve"> </w:t>
      </w:r>
      <w:r w:rsidR="00923C47" w:rsidRPr="006F6BAA">
        <w:rPr>
          <w:sz w:val="24"/>
          <w:szCs w:val="24"/>
        </w:rPr>
        <w:t>will be ranked on the basi</w:t>
      </w:r>
      <w:r w:rsidRPr="006F6BAA">
        <w:rPr>
          <w:sz w:val="24"/>
          <w:szCs w:val="24"/>
        </w:rPr>
        <w:t>s of their score and will be recommended for a grant, subject to the availability of sufficient financial resources.</w:t>
      </w:r>
    </w:p>
    <w:p w:rsidR="00FB57B8" w:rsidRPr="006F6BAA" w:rsidRDefault="00FB57B8" w:rsidP="00C81571">
      <w:pPr>
        <w:tabs>
          <w:tab w:val="left" w:pos="0"/>
        </w:tabs>
        <w:autoSpaceDE w:val="0"/>
        <w:autoSpaceDN w:val="0"/>
        <w:adjustRightInd w:val="0"/>
        <w:jc w:val="both"/>
        <w:rPr>
          <w:sz w:val="24"/>
          <w:szCs w:val="24"/>
        </w:rPr>
      </w:pPr>
    </w:p>
    <w:p w:rsidR="00E363D2" w:rsidRPr="006F6BAA" w:rsidRDefault="00C81571" w:rsidP="00C81571">
      <w:pPr>
        <w:tabs>
          <w:tab w:val="left" w:pos="0"/>
        </w:tabs>
        <w:autoSpaceDE w:val="0"/>
        <w:autoSpaceDN w:val="0"/>
        <w:adjustRightInd w:val="0"/>
        <w:jc w:val="both"/>
        <w:rPr>
          <w:sz w:val="24"/>
          <w:szCs w:val="24"/>
        </w:rPr>
      </w:pPr>
      <w:r w:rsidRPr="006F6BAA">
        <w:rPr>
          <w:sz w:val="24"/>
          <w:szCs w:val="24"/>
        </w:rPr>
        <w:t>The table below gives an overview of the</w:t>
      </w:r>
      <w:r w:rsidR="006229CC" w:rsidRPr="006F6BAA">
        <w:rPr>
          <w:sz w:val="24"/>
          <w:szCs w:val="24"/>
        </w:rPr>
        <w:t xml:space="preserve"> average</w:t>
      </w:r>
      <w:r w:rsidR="006229CC" w:rsidRPr="006F6BAA">
        <w:rPr>
          <w:rStyle w:val="FootnoteReference"/>
          <w:sz w:val="24"/>
          <w:szCs w:val="24"/>
        </w:rPr>
        <w:footnoteReference w:id="30"/>
      </w:r>
      <w:r w:rsidRPr="006F6BAA">
        <w:rPr>
          <w:sz w:val="24"/>
          <w:szCs w:val="24"/>
        </w:rPr>
        <w:t xml:space="preserve"> minimum score applications must obtain.</w:t>
      </w:r>
    </w:p>
    <w:p w:rsidR="008A303F" w:rsidRPr="006F6BAA" w:rsidRDefault="008A303F" w:rsidP="00C81571">
      <w:pPr>
        <w:tabs>
          <w:tab w:val="left" w:pos="0"/>
        </w:tabs>
        <w:autoSpaceDE w:val="0"/>
        <w:autoSpaceDN w:val="0"/>
        <w:adjustRightInd w:val="0"/>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1134"/>
        <w:gridCol w:w="1701"/>
        <w:gridCol w:w="1701"/>
      </w:tblGrid>
      <w:tr w:rsidR="003E18E5" w:rsidRPr="006F6BAA" w:rsidTr="00AF306F">
        <w:tc>
          <w:tcPr>
            <w:tcW w:w="3369" w:type="dxa"/>
            <w:shd w:val="clear" w:color="auto" w:fill="auto"/>
          </w:tcPr>
          <w:p w:rsidR="00A46A1B" w:rsidRPr="006F6BAA" w:rsidRDefault="00A46A1B" w:rsidP="00A46A1B">
            <w:pPr>
              <w:ind w:right="-11"/>
              <w:jc w:val="both"/>
              <w:rPr>
                <w:b/>
                <w:sz w:val="24"/>
                <w:szCs w:val="24"/>
              </w:rPr>
            </w:pPr>
            <w:r w:rsidRPr="006F6BAA">
              <w:rPr>
                <w:b/>
                <w:sz w:val="24"/>
                <w:szCs w:val="24"/>
              </w:rPr>
              <w:t>Award criteria</w:t>
            </w:r>
          </w:p>
        </w:tc>
        <w:tc>
          <w:tcPr>
            <w:tcW w:w="1275" w:type="dxa"/>
            <w:shd w:val="clear" w:color="auto" w:fill="auto"/>
          </w:tcPr>
          <w:p w:rsidR="00A46A1B" w:rsidRPr="006F6BAA" w:rsidRDefault="00A46A1B" w:rsidP="00AF306F">
            <w:pPr>
              <w:ind w:right="-108"/>
              <w:jc w:val="center"/>
              <w:rPr>
                <w:b/>
                <w:sz w:val="24"/>
                <w:szCs w:val="24"/>
              </w:rPr>
            </w:pPr>
            <w:r w:rsidRPr="006F6BAA">
              <w:rPr>
                <w:b/>
                <w:sz w:val="24"/>
                <w:szCs w:val="24"/>
              </w:rPr>
              <w:t>Points</w:t>
            </w:r>
          </w:p>
        </w:tc>
        <w:tc>
          <w:tcPr>
            <w:tcW w:w="1134" w:type="dxa"/>
            <w:shd w:val="clear" w:color="auto" w:fill="auto"/>
          </w:tcPr>
          <w:p w:rsidR="00A46A1B" w:rsidRPr="006F6BAA" w:rsidRDefault="00A46A1B" w:rsidP="00A46A1B">
            <w:pPr>
              <w:ind w:right="-3"/>
              <w:jc w:val="both"/>
              <w:rPr>
                <w:b/>
                <w:sz w:val="24"/>
                <w:szCs w:val="24"/>
              </w:rPr>
            </w:pPr>
            <w:r w:rsidRPr="006F6BAA">
              <w:rPr>
                <w:b/>
                <w:sz w:val="24"/>
                <w:szCs w:val="24"/>
              </w:rPr>
              <w:t>Weight</w:t>
            </w:r>
          </w:p>
        </w:tc>
        <w:tc>
          <w:tcPr>
            <w:tcW w:w="1701" w:type="dxa"/>
            <w:shd w:val="clear" w:color="auto" w:fill="auto"/>
          </w:tcPr>
          <w:p w:rsidR="00A46A1B" w:rsidRPr="006F6BAA" w:rsidRDefault="00CC7950" w:rsidP="00A46A1B">
            <w:pPr>
              <w:ind w:right="-136"/>
              <w:jc w:val="both"/>
              <w:rPr>
                <w:b/>
                <w:sz w:val="24"/>
                <w:szCs w:val="24"/>
              </w:rPr>
            </w:pPr>
            <w:r w:rsidRPr="006F6BAA">
              <w:rPr>
                <w:b/>
                <w:sz w:val="24"/>
                <w:szCs w:val="24"/>
              </w:rPr>
              <w:t>Threshold (minimum</w:t>
            </w:r>
            <w:r w:rsidR="00A46A1B" w:rsidRPr="006F6BAA">
              <w:rPr>
                <w:b/>
                <w:sz w:val="24"/>
                <w:szCs w:val="24"/>
              </w:rPr>
              <w:t xml:space="preserve"> score</w:t>
            </w:r>
            <w:r w:rsidRPr="006F6BAA">
              <w:rPr>
                <w:b/>
                <w:sz w:val="24"/>
                <w:szCs w:val="24"/>
              </w:rPr>
              <w:t>)</w:t>
            </w:r>
          </w:p>
        </w:tc>
        <w:tc>
          <w:tcPr>
            <w:tcW w:w="1701" w:type="dxa"/>
            <w:shd w:val="clear" w:color="auto" w:fill="auto"/>
          </w:tcPr>
          <w:p w:rsidR="00A46A1B" w:rsidRPr="006F6BAA" w:rsidRDefault="00CC7950" w:rsidP="00A46A1B">
            <w:pPr>
              <w:ind w:right="43"/>
              <w:jc w:val="both"/>
              <w:rPr>
                <w:b/>
                <w:sz w:val="24"/>
                <w:szCs w:val="24"/>
              </w:rPr>
            </w:pPr>
            <w:r w:rsidRPr="006F6BAA">
              <w:rPr>
                <w:b/>
                <w:sz w:val="24"/>
                <w:szCs w:val="24"/>
              </w:rPr>
              <w:t>Maximum</w:t>
            </w:r>
            <w:r w:rsidR="00A46A1B" w:rsidRPr="006F6BAA">
              <w:rPr>
                <w:b/>
                <w:sz w:val="24"/>
                <w:szCs w:val="24"/>
              </w:rPr>
              <w:t xml:space="preserve"> score</w:t>
            </w:r>
          </w:p>
        </w:tc>
      </w:tr>
      <w:tr w:rsidR="003E18E5" w:rsidRPr="006F6BAA" w:rsidTr="00AF306F">
        <w:trPr>
          <w:trHeight w:val="190"/>
        </w:trPr>
        <w:tc>
          <w:tcPr>
            <w:tcW w:w="3369" w:type="dxa"/>
            <w:shd w:val="clear" w:color="auto" w:fill="auto"/>
          </w:tcPr>
          <w:p w:rsidR="00A46A1B" w:rsidRPr="006F6BAA" w:rsidRDefault="00A46A1B" w:rsidP="00A46A1B">
            <w:pPr>
              <w:ind w:right="-153"/>
              <w:jc w:val="both"/>
              <w:rPr>
                <w:sz w:val="24"/>
                <w:szCs w:val="24"/>
              </w:rPr>
            </w:pPr>
            <w:r w:rsidRPr="006F6BAA">
              <w:rPr>
                <w:sz w:val="24"/>
                <w:szCs w:val="24"/>
              </w:rPr>
              <w:t>Added value</w:t>
            </w:r>
          </w:p>
        </w:tc>
        <w:tc>
          <w:tcPr>
            <w:tcW w:w="1275" w:type="dxa"/>
            <w:shd w:val="clear" w:color="auto" w:fill="auto"/>
          </w:tcPr>
          <w:p w:rsidR="00A46A1B" w:rsidRPr="006F6BAA" w:rsidRDefault="00A46A1B" w:rsidP="00A46A1B">
            <w:pPr>
              <w:ind w:right="-108"/>
              <w:jc w:val="center"/>
              <w:rPr>
                <w:sz w:val="24"/>
                <w:szCs w:val="24"/>
              </w:rPr>
            </w:pPr>
            <w:r w:rsidRPr="006F6BAA">
              <w:rPr>
                <w:sz w:val="24"/>
                <w:szCs w:val="24"/>
              </w:rPr>
              <w:t>1-10</w:t>
            </w:r>
          </w:p>
        </w:tc>
        <w:tc>
          <w:tcPr>
            <w:tcW w:w="1134" w:type="dxa"/>
            <w:shd w:val="clear" w:color="auto" w:fill="auto"/>
          </w:tcPr>
          <w:p w:rsidR="00A46A1B" w:rsidRPr="006F6BAA" w:rsidRDefault="00A46A1B" w:rsidP="00A46A1B">
            <w:pPr>
              <w:ind w:right="-108"/>
              <w:jc w:val="center"/>
              <w:rPr>
                <w:sz w:val="24"/>
                <w:szCs w:val="24"/>
              </w:rPr>
            </w:pPr>
            <w:r w:rsidRPr="006F6BAA">
              <w:rPr>
                <w:sz w:val="24"/>
                <w:szCs w:val="24"/>
              </w:rPr>
              <w:t>4</w:t>
            </w:r>
          </w:p>
        </w:tc>
        <w:tc>
          <w:tcPr>
            <w:tcW w:w="1701" w:type="dxa"/>
            <w:shd w:val="clear" w:color="auto" w:fill="auto"/>
          </w:tcPr>
          <w:p w:rsidR="00A46A1B" w:rsidRPr="006F6BAA" w:rsidRDefault="00A46A1B" w:rsidP="00A46A1B">
            <w:pPr>
              <w:ind w:right="-108"/>
              <w:jc w:val="center"/>
              <w:rPr>
                <w:sz w:val="24"/>
                <w:szCs w:val="24"/>
              </w:rPr>
            </w:pPr>
            <w:r w:rsidRPr="006F6BAA">
              <w:rPr>
                <w:sz w:val="24"/>
                <w:szCs w:val="24"/>
              </w:rPr>
              <w:t>20</w:t>
            </w:r>
          </w:p>
        </w:tc>
        <w:tc>
          <w:tcPr>
            <w:tcW w:w="1701" w:type="dxa"/>
            <w:shd w:val="clear" w:color="auto" w:fill="auto"/>
          </w:tcPr>
          <w:p w:rsidR="00A46A1B" w:rsidRPr="006F6BAA" w:rsidRDefault="00A46A1B" w:rsidP="00A46A1B">
            <w:pPr>
              <w:ind w:right="-14"/>
              <w:jc w:val="center"/>
              <w:rPr>
                <w:sz w:val="24"/>
                <w:szCs w:val="24"/>
              </w:rPr>
            </w:pPr>
            <w:r w:rsidRPr="006F6BAA">
              <w:rPr>
                <w:sz w:val="24"/>
                <w:szCs w:val="24"/>
              </w:rPr>
              <w:t>40</w:t>
            </w:r>
          </w:p>
        </w:tc>
      </w:tr>
      <w:tr w:rsidR="003E18E5" w:rsidRPr="006F6BAA" w:rsidTr="00AF306F">
        <w:tc>
          <w:tcPr>
            <w:tcW w:w="3369" w:type="dxa"/>
            <w:shd w:val="clear" w:color="auto" w:fill="auto"/>
          </w:tcPr>
          <w:p w:rsidR="00A46A1B" w:rsidRPr="006F6BAA" w:rsidRDefault="00A46A1B" w:rsidP="00A46A1B">
            <w:pPr>
              <w:ind w:right="720"/>
              <w:jc w:val="both"/>
              <w:rPr>
                <w:sz w:val="24"/>
                <w:szCs w:val="24"/>
              </w:rPr>
            </w:pPr>
            <w:r w:rsidRPr="006F6BAA">
              <w:rPr>
                <w:sz w:val="24"/>
                <w:szCs w:val="24"/>
              </w:rPr>
              <w:t>Conformity</w:t>
            </w:r>
          </w:p>
        </w:tc>
        <w:tc>
          <w:tcPr>
            <w:tcW w:w="1275" w:type="dxa"/>
            <w:shd w:val="clear" w:color="auto" w:fill="auto"/>
          </w:tcPr>
          <w:p w:rsidR="00A46A1B" w:rsidRPr="006F6BAA" w:rsidRDefault="00A46A1B" w:rsidP="00A46A1B">
            <w:pPr>
              <w:ind w:right="-108"/>
              <w:jc w:val="center"/>
              <w:rPr>
                <w:sz w:val="24"/>
                <w:szCs w:val="24"/>
              </w:rPr>
            </w:pPr>
            <w:r w:rsidRPr="006F6BAA">
              <w:rPr>
                <w:sz w:val="24"/>
                <w:szCs w:val="24"/>
              </w:rPr>
              <w:t>1-10</w:t>
            </w:r>
          </w:p>
        </w:tc>
        <w:tc>
          <w:tcPr>
            <w:tcW w:w="1134" w:type="dxa"/>
            <w:shd w:val="clear" w:color="auto" w:fill="auto"/>
          </w:tcPr>
          <w:p w:rsidR="00A46A1B" w:rsidRPr="006F6BAA" w:rsidRDefault="00A46A1B" w:rsidP="00A46A1B">
            <w:pPr>
              <w:ind w:right="-108"/>
              <w:jc w:val="center"/>
              <w:rPr>
                <w:sz w:val="24"/>
                <w:szCs w:val="24"/>
              </w:rPr>
            </w:pPr>
            <w:r w:rsidRPr="006F6BAA">
              <w:rPr>
                <w:sz w:val="24"/>
                <w:szCs w:val="24"/>
              </w:rPr>
              <w:t>2</w:t>
            </w:r>
          </w:p>
        </w:tc>
        <w:tc>
          <w:tcPr>
            <w:tcW w:w="1701" w:type="dxa"/>
            <w:shd w:val="clear" w:color="auto" w:fill="auto"/>
          </w:tcPr>
          <w:p w:rsidR="00A46A1B" w:rsidRPr="006F6BAA" w:rsidRDefault="00A46A1B" w:rsidP="00A46A1B">
            <w:pPr>
              <w:ind w:right="-108"/>
              <w:jc w:val="center"/>
              <w:rPr>
                <w:sz w:val="24"/>
                <w:szCs w:val="24"/>
              </w:rPr>
            </w:pPr>
            <w:r w:rsidRPr="006F6BAA">
              <w:rPr>
                <w:sz w:val="24"/>
                <w:szCs w:val="24"/>
              </w:rPr>
              <w:t>10</w:t>
            </w:r>
          </w:p>
        </w:tc>
        <w:tc>
          <w:tcPr>
            <w:tcW w:w="1701" w:type="dxa"/>
            <w:shd w:val="clear" w:color="auto" w:fill="auto"/>
          </w:tcPr>
          <w:p w:rsidR="00A46A1B" w:rsidRPr="006F6BAA" w:rsidRDefault="00A46A1B" w:rsidP="00A46A1B">
            <w:pPr>
              <w:ind w:right="-14"/>
              <w:jc w:val="center"/>
              <w:rPr>
                <w:sz w:val="24"/>
                <w:szCs w:val="24"/>
              </w:rPr>
            </w:pPr>
            <w:r w:rsidRPr="006F6BAA">
              <w:rPr>
                <w:sz w:val="24"/>
                <w:szCs w:val="24"/>
              </w:rPr>
              <w:t>20</w:t>
            </w:r>
          </w:p>
        </w:tc>
      </w:tr>
      <w:tr w:rsidR="003E18E5" w:rsidRPr="006F6BAA" w:rsidTr="00AF306F">
        <w:tc>
          <w:tcPr>
            <w:tcW w:w="3369" w:type="dxa"/>
            <w:shd w:val="clear" w:color="auto" w:fill="auto"/>
          </w:tcPr>
          <w:p w:rsidR="00A46A1B" w:rsidRPr="006F6BAA" w:rsidRDefault="00A46A1B" w:rsidP="00A46A1B">
            <w:pPr>
              <w:ind w:right="720"/>
              <w:jc w:val="both"/>
              <w:rPr>
                <w:sz w:val="24"/>
                <w:szCs w:val="24"/>
              </w:rPr>
            </w:pPr>
            <w:r w:rsidRPr="006F6BAA">
              <w:rPr>
                <w:sz w:val="24"/>
                <w:szCs w:val="24"/>
              </w:rPr>
              <w:t>Quality</w:t>
            </w:r>
          </w:p>
        </w:tc>
        <w:tc>
          <w:tcPr>
            <w:tcW w:w="1275" w:type="dxa"/>
            <w:shd w:val="clear" w:color="auto" w:fill="auto"/>
          </w:tcPr>
          <w:p w:rsidR="00A46A1B" w:rsidRPr="006F6BAA" w:rsidRDefault="00A46A1B" w:rsidP="00A46A1B">
            <w:pPr>
              <w:ind w:right="-108"/>
              <w:jc w:val="center"/>
              <w:rPr>
                <w:sz w:val="24"/>
                <w:szCs w:val="24"/>
              </w:rPr>
            </w:pPr>
            <w:r w:rsidRPr="006F6BAA">
              <w:rPr>
                <w:sz w:val="24"/>
                <w:szCs w:val="24"/>
              </w:rPr>
              <w:t>1-10</w:t>
            </w:r>
          </w:p>
        </w:tc>
        <w:tc>
          <w:tcPr>
            <w:tcW w:w="1134" w:type="dxa"/>
            <w:shd w:val="clear" w:color="auto" w:fill="auto"/>
          </w:tcPr>
          <w:p w:rsidR="00A46A1B" w:rsidRPr="006F6BAA" w:rsidRDefault="00A46A1B" w:rsidP="00A46A1B">
            <w:pPr>
              <w:ind w:right="-108"/>
              <w:jc w:val="center"/>
              <w:rPr>
                <w:sz w:val="24"/>
                <w:szCs w:val="24"/>
              </w:rPr>
            </w:pPr>
            <w:r w:rsidRPr="006F6BAA">
              <w:rPr>
                <w:sz w:val="24"/>
                <w:szCs w:val="24"/>
              </w:rPr>
              <w:t>2</w:t>
            </w:r>
          </w:p>
        </w:tc>
        <w:tc>
          <w:tcPr>
            <w:tcW w:w="1701" w:type="dxa"/>
            <w:shd w:val="clear" w:color="auto" w:fill="auto"/>
          </w:tcPr>
          <w:p w:rsidR="00A46A1B" w:rsidRPr="006F6BAA" w:rsidRDefault="00A46A1B" w:rsidP="00A46A1B">
            <w:pPr>
              <w:ind w:right="-108"/>
              <w:jc w:val="center"/>
              <w:rPr>
                <w:sz w:val="24"/>
                <w:szCs w:val="24"/>
              </w:rPr>
            </w:pPr>
            <w:r w:rsidRPr="006F6BAA">
              <w:rPr>
                <w:sz w:val="24"/>
                <w:szCs w:val="24"/>
              </w:rPr>
              <w:t>10</w:t>
            </w:r>
          </w:p>
        </w:tc>
        <w:tc>
          <w:tcPr>
            <w:tcW w:w="1701" w:type="dxa"/>
            <w:shd w:val="clear" w:color="auto" w:fill="auto"/>
          </w:tcPr>
          <w:p w:rsidR="00A46A1B" w:rsidRPr="006F6BAA" w:rsidRDefault="00A46A1B" w:rsidP="00A46A1B">
            <w:pPr>
              <w:ind w:right="-14"/>
              <w:jc w:val="center"/>
              <w:rPr>
                <w:sz w:val="24"/>
                <w:szCs w:val="24"/>
              </w:rPr>
            </w:pPr>
            <w:r w:rsidRPr="006F6BAA">
              <w:rPr>
                <w:sz w:val="24"/>
                <w:szCs w:val="24"/>
              </w:rPr>
              <w:t>20</w:t>
            </w:r>
          </w:p>
        </w:tc>
      </w:tr>
      <w:tr w:rsidR="003E18E5" w:rsidRPr="006F6BAA" w:rsidTr="00AF306F">
        <w:tc>
          <w:tcPr>
            <w:tcW w:w="3369" w:type="dxa"/>
            <w:shd w:val="clear" w:color="auto" w:fill="auto"/>
          </w:tcPr>
          <w:p w:rsidR="00A46A1B" w:rsidRPr="006F6BAA" w:rsidRDefault="00A46A1B" w:rsidP="00A46A1B">
            <w:pPr>
              <w:ind w:right="-153"/>
              <w:jc w:val="both"/>
              <w:rPr>
                <w:sz w:val="24"/>
                <w:szCs w:val="24"/>
              </w:rPr>
            </w:pPr>
            <w:r w:rsidRPr="006F6BAA">
              <w:rPr>
                <w:sz w:val="24"/>
                <w:szCs w:val="24"/>
              </w:rPr>
              <w:t>Value for Money</w:t>
            </w:r>
          </w:p>
        </w:tc>
        <w:tc>
          <w:tcPr>
            <w:tcW w:w="1275" w:type="dxa"/>
            <w:shd w:val="clear" w:color="auto" w:fill="auto"/>
          </w:tcPr>
          <w:p w:rsidR="00A46A1B" w:rsidRPr="006F6BAA" w:rsidRDefault="00A46A1B" w:rsidP="00A46A1B">
            <w:pPr>
              <w:ind w:right="-108"/>
              <w:jc w:val="center"/>
              <w:rPr>
                <w:sz w:val="24"/>
                <w:szCs w:val="24"/>
              </w:rPr>
            </w:pPr>
            <w:r w:rsidRPr="006F6BAA">
              <w:rPr>
                <w:sz w:val="24"/>
                <w:szCs w:val="24"/>
              </w:rPr>
              <w:t>1-10</w:t>
            </w:r>
          </w:p>
        </w:tc>
        <w:tc>
          <w:tcPr>
            <w:tcW w:w="1134" w:type="dxa"/>
            <w:shd w:val="clear" w:color="auto" w:fill="auto"/>
          </w:tcPr>
          <w:p w:rsidR="00A46A1B" w:rsidRPr="006F6BAA" w:rsidRDefault="00A46A1B" w:rsidP="00A46A1B">
            <w:pPr>
              <w:ind w:right="-108"/>
              <w:jc w:val="center"/>
              <w:rPr>
                <w:sz w:val="24"/>
                <w:szCs w:val="24"/>
              </w:rPr>
            </w:pPr>
            <w:r w:rsidRPr="006F6BAA">
              <w:rPr>
                <w:sz w:val="24"/>
                <w:szCs w:val="24"/>
              </w:rPr>
              <w:t>2</w:t>
            </w:r>
          </w:p>
        </w:tc>
        <w:tc>
          <w:tcPr>
            <w:tcW w:w="1701" w:type="dxa"/>
            <w:shd w:val="clear" w:color="auto" w:fill="auto"/>
          </w:tcPr>
          <w:p w:rsidR="00A46A1B" w:rsidRPr="006F6BAA" w:rsidRDefault="00A46A1B" w:rsidP="00A46A1B">
            <w:pPr>
              <w:ind w:right="-108"/>
              <w:jc w:val="center"/>
              <w:rPr>
                <w:sz w:val="24"/>
                <w:szCs w:val="24"/>
              </w:rPr>
            </w:pPr>
            <w:r w:rsidRPr="006F6BAA">
              <w:rPr>
                <w:sz w:val="24"/>
                <w:szCs w:val="24"/>
              </w:rPr>
              <w:t>10</w:t>
            </w:r>
          </w:p>
        </w:tc>
        <w:tc>
          <w:tcPr>
            <w:tcW w:w="1701" w:type="dxa"/>
            <w:shd w:val="clear" w:color="auto" w:fill="auto"/>
          </w:tcPr>
          <w:p w:rsidR="00A46A1B" w:rsidRPr="006F6BAA" w:rsidRDefault="00A46A1B" w:rsidP="00A46A1B">
            <w:pPr>
              <w:ind w:right="-14"/>
              <w:jc w:val="center"/>
              <w:rPr>
                <w:sz w:val="24"/>
                <w:szCs w:val="24"/>
              </w:rPr>
            </w:pPr>
            <w:r w:rsidRPr="006F6BAA">
              <w:rPr>
                <w:sz w:val="24"/>
                <w:szCs w:val="24"/>
              </w:rPr>
              <w:t>20</w:t>
            </w:r>
          </w:p>
        </w:tc>
      </w:tr>
      <w:tr w:rsidR="003E18E5" w:rsidRPr="006F6BAA" w:rsidTr="009339AD">
        <w:tc>
          <w:tcPr>
            <w:tcW w:w="9180" w:type="dxa"/>
            <w:gridSpan w:val="5"/>
            <w:shd w:val="clear" w:color="auto" w:fill="auto"/>
          </w:tcPr>
          <w:p w:rsidR="00D04BD8" w:rsidRPr="006F6BAA" w:rsidRDefault="00D04BD8" w:rsidP="00A46A1B">
            <w:pPr>
              <w:ind w:right="-14"/>
              <w:jc w:val="center"/>
              <w:rPr>
                <w:b/>
                <w:sz w:val="24"/>
                <w:szCs w:val="24"/>
              </w:rPr>
            </w:pPr>
            <w:r w:rsidRPr="006F6BAA">
              <w:rPr>
                <w:b/>
                <w:sz w:val="24"/>
                <w:szCs w:val="24"/>
              </w:rPr>
              <w:t>AND</w:t>
            </w:r>
            <w:r w:rsidR="00643380" w:rsidRPr="006F6BAA">
              <w:rPr>
                <w:b/>
                <w:sz w:val="24"/>
                <w:szCs w:val="24"/>
              </w:rPr>
              <w:t>:</w:t>
            </w:r>
          </w:p>
        </w:tc>
      </w:tr>
      <w:tr w:rsidR="00501C92" w:rsidRPr="006F6BAA" w:rsidTr="00976CFA">
        <w:tc>
          <w:tcPr>
            <w:tcW w:w="9180" w:type="dxa"/>
            <w:gridSpan w:val="5"/>
            <w:shd w:val="clear" w:color="auto" w:fill="auto"/>
          </w:tcPr>
          <w:p w:rsidR="00501C92" w:rsidRPr="006F6BAA" w:rsidRDefault="00501C92" w:rsidP="00924D2F">
            <w:pPr>
              <w:ind w:right="720"/>
              <w:rPr>
                <w:b/>
                <w:sz w:val="24"/>
                <w:szCs w:val="24"/>
              </w:rPr>
            </w:pPr>
            <w:r w:rsidRPr="006F6BAA">
              <w:rPr>
                <w:b/>
                <w:sz w:val="24"/>
                <w:szCs w:val="24"/>
              </w:rPr>
              <w:t xml:space="preserve">Aggregated minimum </w:t>
            </w:r>
            <w:r w:rsidR="00924D2F" w:rsidRPr="006F6BAA">
              <w:rPr>
                <w:b/>
                <w:sz w:val="24"/>
                <w:szCs w:val="24"/>
              </w:rPr>
              <w:t>score needed</w:t>
            </w:r>
            <w:r w:rsidRPr="006F6BAA">
              <w:rPr>
                <w:b/>
                <w:sz w:val="24"/>
                <w:szCs w:val="24"/>
              </w:rPr>
              <w:t xml:space="preserve"> </w:t>
            </w:r>
            <w:r w:rsidR="00924D2F" w:rsidRPr="006F6BAA">
              <w:rPr>
                <w:b/>
                <w:sz w:val="24"/>
                <w:szCs w:val="24"/>
              </w:rPr>
              <w:t>for</w:t>
            </w:r>
            <w:r w:rsidRPr="006F6BAA">
              <w:rPr>
                <w:b/>
                <w:sz w:val="24"/>
                <w:szCs w:val="24"/>
              </w:rPr>
              <w:t xml:space="preserve"> all criteria: 6</w:t>
            </w:r>
            <w:r w:rsidR="005C168D" w:rsidRPr="006F6BAA">
              <w:rPr>
                <w:b/>
                <w:sz w:val="24"/>
                <w:szCs w:val="24"/>
              </w:rPr>
              <w:t>0</w:t>
            </w:r>
          </w:p>
        </w:tc>
      </w:tr>
    </w:tbl>
    <w:p w:rsidR="00845774" w:rsidRPr="006F6BAA" w:rsidRDefault="007C6066" w:rsidP="00DA0516">
      <w:pPr>
        <w:pStyle w:val="Heading2"/>
        <w:rPr>
          <w:sz w:val="24"/>
          <w:szCs w:val="24"/>
        </w:rPr>
      </w:pPr>
      <w:bookmarkStart w:id="269" w:name="_Toc484788383"/>
      <w:r w:rsidRPr="006F6BAA">
        <w:rPr>
          <w:sz w:val="24"/>
          <w:szCs w:val="24"/>
        </w:rPr>
        <w:lastRenderedPageBreak/>
        <w:t xml:space="preserve">7.6      </w:t>
      </w:r>
      <w:r w:rsidR="00833260" w:rsidRPr="006F6BAA">
        <w:rPr>
          <w:sz w:val="24"/>
          <w:szCs w:val="24"/>
        </w:rPr>
        <w:t>Criteria for co-financing grants up to 90% of the eligible costs</w:t>
      </w:r>
      <w:bookmarkEnd w:id="269"/>
    </w:p>
    <w:p w:rsidR="00701AEF" w:rsidRPr="006F6BAA" w:rsidRDefault="00701AEF" w:rsidP="00701AEF">
      <w:pPr>
        <w:jc w:val="both"/>
        <w:rPr>
          <w:noProof/>
          <w:sz w:val="24"/>
          <w:szCs w:val="24"/>
        </w:rPr>
      </w:pPr>
      <w:r w:rsidRPr="006F6BAA">
        <w:rPr>
          <w:noProof/>
          <w:sz w:val="24"/>
          <w:szCs w:val="24"/>
        </w:rPr>
        <w:t xml:space="preserve">The Hercule III Regulation provides for the possibility to increase the maximum co-financing rate of grants from 80% to a maximum of 90% in </w:t>
      </w:r>
      <w:r w:rsidRPr="006F6BAA">
        <w:rPr>
          <w:b/>
          <w:i/>
          <w:noProof/>
          <w:sz w:val="24"/>
          <w:szCs w:val="24"/>
        </w:rPr>
        <w:t>exceptional and duly justified cases</w:t>
      </w:r>
      <w:r w:rsidRPr="006F6BAA">
        <w:rPr>
          <w:rStyle w:val="FootnoteReference"/>
          <w:noProof/>
          <w:sz w:val="24"/>
          <w:szCs w:val="24"/>
        </w:rPr>
        <w:footnoteReference w:id="31"/>
      </w:r>
      <w:r w:rsidRPr="006F6BAA">
        <w:rPr>
          <w:noProof/>
          <w:sz w:val="24"/>
          <w:szCs w:val="24"/>
        </w:rPr>
        <w:t xml:space="preserve">. According to the Financing Decision </w:t>
      </w:r>
      <w:r w:rsidR="00745C24" w:rsidRPr="006F6BAA">
        <w:rPr>
          <w:noProof/>
          <w:sz w:val="24"/>
          <w:szCs w:val="24"/>
        </w:rPr>
        <w:t>201</w:t>
      </w:r>
      <w:r w:rsidR="00771ADD" w:rsidRPr="006F6BAA">
        <w:rPr>
          <w:noProof/>
          <w:sz w:val="24"/>
          <w:szCs w:val="24"/>
        </w:rPr>
        <w:t>7</w:t>
      </w:r>
      <w:r w:rsidRPr="006F6BAA">
        <w:rPr>
          <w:rStyle w:val="FootnoteReference"/>
          <w:noProof/>
          <w:sz w:val="24"/>
          <w:szCs w:val="24"/>
        </w:rPr>
        <w:footnoteReference w:id="32"/>
      </w:r>
      <w:r w:rsidR="00E27263" w:rsidRPr="006F6BAA">
        <w:rPr>
          <w:noProof/>
          <w:sz w:val="24"/>
          <w:szCs w:val="24"/>
        </w:rPr>
        <w:t xml:space="preserve">, the criteria that will be used for the </w:t>
      </w:r>
      <w:r w:rsidR="004443FB" w:rsidRPr="006F6BAA">
        <w:rPr>
          <w:noProof/>
          <w:sz w:val="24"/>
          <w:szCs w:val="24"/>
        </w:rPr>
        <w:t>"</w:t>
      </w:r>
      <w:r w:rsidR="00FC2A38" w:rsidRPr="006F6BAA">
        <w:rPr>
          <w:noProof/>
          <w:sz w:val="24"/>
          <w:szCs w:val="24"/>
        </w:rPr>
        <w:t>Law</w:t>
      </w:r>
      <w:r w:rsidR="00E27263" w:rsidRPr="006F6BAA">
        <w:rPr>
          <w:noProof/>
          <w:sz w:val="24"/>
          <w:szCs w:val="24"/>
        </w:rPr>
        <w:t xml:space="preserve"> Training and Studies</w:t>
      </w:r>
      <w:r w:rsidR="004443FB" w:rsidRPr="006F6BAA">
        <w:rPr>
          <w:noProof/>
          <w:sz w:val="24"/>
          <w:szCs w:val="24"/>
        </w:rPr>
        <w:t>"</w:t>
      </w:r>
      <w:r w:rsidR="00E27263" w:rsidRPr="006F6BAA">
        <w:rPr>
          <w:noProof/>
          <w:sz w:val="24"/>
          <w:szCs w:val="24"/>
        </w:rPr>
        <w:t xml:space="preserve"> sector refer to </w:t>
      </w:r>
      <w:r w:rsidR="00E27263" w:rsidRPr="006F6BAA">
        <w:rPr>
          <w:i/>
          <w:noProof/>
          <w:sz w:val="24"/>
          <w:szCs w:val="24"/>
        </w:rPr>
        <w:t>actions undertaken by scientific organisations that are specifically created for the promotion of studies in European criminal law and for supporting the creation of networks in this area, and have as an objective the protection of the financial interests of the Union</w:t>
      </w:r>
      <w:r w:rsidR="00E27263" w:rsidRPr="006F6BAA">
        <w:rPr>
          <w:noProof/>
          <w:sz w:val="24"/>
          <w:szCs w:val="24"/>
        </w:rPr>
        <w:t>.</w:t>
      </w:r>
    </w:p>
    <w:p w:rsidR="00833260" w:rsidRPr="006F6BAA" w:rsidRDefault="00833260" w:rsidP="00833260">
      <w:pPr>
        <w:rPr>
          <w:sz w:val="24"/>
          <w:szCs w:val="24"/>
        </w:rPr>
      </w:pPr>
    </w:p>
    <w:p w:rsidR="00A060FA" w:rsidRPr="006F6BAA" w:rsidRDefault="0080101E" w:rsidP="0080101E">
      <w:pPr>
        <w:jc w:val="both"/>
        <w:rPr>
          <w:rFonts w:eastAsiaTheme="minorHAnsi"/>
          <w:sz w:val="24"/>
          <w:szCs w:val="24"/>
        </w:rPr>
      </w:pPr>
      <w:r w:rsidRPr="006F6BAA">
        <w:rPr>
          <w:rFonts w:eastAsiaTheme="minorHAnsi"/>
          <w:noProof/>
          <w:color w:val="000000"/>
          <w:sz w:val="24"/>
          <w:szCs w:val="24"/>
        </w:rPr>
        <w:t>Please note that the Commission does not have an obligation to award a 90% grant, even if the applicant complies with all the criteria mentioned above.</w:t>
      </w:r>
    </w:p>
    <w:p w:rsidR="0080101E" w:rsidRPr="006F6BAA" w:rsidRDefault="0080101E" w:rsidP="009C7533">
      <w:pPr>
        <w:tabs>
          <w:tab w:val="left" w:pos="360"/>
        </w:tabs>
        <w:jc w:val="both"/>
        <w:rPr>
          <w:sz w:val="24"/>
          <w:szCs w:val="24"/>
        </w:rPr>
      </w:pPr>
    </w:p>
    <w:p w:rsidR="009A33D6" w:rsidRPr="006F6BAA" w:rsidRDefault="00F937C2" w:rsidP="00F937C2">
      <w:pPr>
        <w:pStyle w:val="Heading1"/>
        <w:rPr>
          <w:sz w:val="24"/>
          <w:szCs w:val="24"/>
        </w:rPr>
      </w:pPr>
      <w:bookmarkStart w:id="270" w:name="_Toc388430603"/>
      <w:bookmarkStart w:id="271" w:name="_Toc388431008"/>
      <w:bookmarkStart w:id="272" w:name="_Toc388620822"/>
      <w:bookmarkStart w:id="273" w:name="_Toc388862583"/>
      <w:bookmarkStart w:id="274" w:name="_Toc388867218"/>
      <w:bookmarkStart w:id="275" w:name="_Toc388867353"/>
      <w:bookmarkStart w:id="276" w:name="_Toc388869050"/>
      <w:bookmarkStart w:id="277" w:name="_Toc423015997"/>
      <w:bookmarkStart w:id="278" w:name="_Toc423016116"/>
      <w:bookmarkStart w:id="279" w:name="_Toc446498629"/>
      <w:bookmarkStart w:id="280" w:name="_Toc481491548"/>
      <w:bookmarkStart w:id="281" w:name="_Toc484788384"/>
      <w:r w:rsidRPr="006F6BAA">
        <w:rPr>
          <w:sz w:val="24"/>
          <w:szCs w:val="24"/>
        </w:rPr>
        <w:t>8.</w:t>
      </w:r>
      <w:r w:rsidRPr="006F6BAA">
        <w:rPr>
          <w:sz w:val="24"/>
          <w:szCs w:val="24"/>
        </w:rPr>
        <w:tab/>
      </w:r>
      <w:r w:rsidR="0041623C" w:rsidRPr="006F6BAA">
        <w:rPr>
          <w:sz w:val="24"/>
          <w:szCs w:val="24"/>
        </w:rPr>
        <w:t>S</w:t>
      </w:r>
      <w:bookmarkEnd w:id="270"/>
      <w:bookmarkEnd w:id="271"/>
      <w:bookmarkEnd w:id="272"/>
      <w:bookmarkEnd w:id="273"/>
      <w:bookmarkEnd w:id="274"/>
      <w:bookmarkEnd w:id="275"/>
      <w:bookmarkEnd w:id="276"/>
      <w:r w:rsidR="0041623C" w:rsidRPr="006F6BAA">
        <w:rPr>
          <w:sz w:val="24"/>
          <w:szCs w:val="24"/>
        </w:rPr>
        <w:t>ubmission of an applicatio</w:t>
      </w:r>
      <w:bookmarkEnd w:id="277"/>
      <w:bookmarkEnd w:id="278"/>
      <w:bookmarkEnd w:id="279"/>
      <w:bookmarkEnd w:id="280"/>
      <w:r w:rsidR="00FB57B8">
        <w:rPr>
          <w:sz w:val="24"/>
          <w:szCs w:val="24"/>
        </w:rPr>
        <w:t>n</w:t>
      </w:r>
      <w:bookmarkEnd w:id="281"/>
    </w:p>
    <w:p w:rsidR="00F937C2" w:rsidRPr="006F6BAA" w:rsidRDefault="00F937C2" w:rsidP="00F937C2">
      <w:pPr>
        <w:rPr>
          <w:sz w:val="24"/>
          <w:szCs w:val="24"/>
        </w:rPr>
      </w:pPr>
    </w:p>
    <w:p w:rsidR="00EA77F8" w:rsidRPr="006F6BAA" w:rsidRDefault="00CA4E83" w:rsidP="00840B68">
      <w:pPr>
        <w:jc w:val="both"/>
        <w:rPr>
          <w:rFonts w:eastAsiaTheme="minorHAnsi"/>
          <w:i/>
          <w:sz w:val="24"/>
          <w:szCs w:val="24"/>
        </w:rPr>
      </w:pPr>
      <w:r w:rsidRPr="006F6BAA">
        <w:rPr>
          <w:rFonts w:eastAsiaTheme="minorHAnsi"/>
          <w:sz w:val="24"/>
          <w:szCs w:val="24"/>
        </w:rPr>
        <w:t xml:space="preserve">The application has to be submitted by making use of the </w:t>
      </w:r>
      <w:r w:rsidR="00FB57B8">
        <w:rPr>
          <w:rFonts w:eastAsiaTheme="minorHAnsi"/>
          <w:sz w:val="24"/>
          <w:szCs w:val="24"/>
        </w:rPr>
        <w:t>Participant Portal</w:t>
      </w:r>
      <w:r w:rsidRPr="006F6BAA">
        <w:rPr>
          <w:rFonts w:eastAsiaTheme="minorHAnsi"/>
          <w:sz w:val="24"/>
          <w:szCs w:val="24"/>
          <w:vertAlign w:val="superscript"/>
        </w:rPr>
        <w:footnoteReference w:id="33"/>
      </w:r>
      <w:r w:rsidRPr="006F6BAA">
        <w:rPr>
          <w:rFonts w:eastAsiaTheme="minorHAnsi"/>
          <w:sz w:val="24"/>
          <w:szCs w:val="24"/>
        </w:rPr>
        <w:t xml:space="preserve"> developed by the Commission for the submission of applications</w:t>
      </w:r>
      <w:r w:rsidRPr="006F6BAA">
        <w:rPr>
          <w:rFonts w:eastAsiaTheme="minorHAnsi"/>
          <w:sz w:val="24"/>
          <w:szCs w:val="24"/>
          <w:vertAlign w:val="superscript"/>
        </w:rPr>
        <w:footnoteReference w:id="34"/>
      </w:r>
      <w:r w:rsidRPr="006F6BAA">
        <w:rPr>
          <w:rFonts w:eastAsiaTheme="minorHAnsi"/>
          <w:sz w:val="24"/>
          <w:szCs w:val="24"/>
        </w:rPr>
        <w:t xml:space="preserve">. The "Hercule-III" section of the </w:t>
      </w:r>
      <w:r w:rsidR="00FB57B8">
        <w:rPr>
          <w:rFonts w:eastAsiaTheme="minorHAnsi"/>
          <w:sz w:val="24"/>
          <w:szCs w:val="24"/>
        </w:rPr>
        <w:t>Participant Portal</w:t>
      </w:r>
      <w:r w:rsidRPr="006F6BAA">
        <w:rPr>
          <w:rFonts w:eastAsiaTheme="minorHAnsi"/>
          <w:sz w:val="24"/>
          <w:szCs w:val="24"/>
        </w:rPr>
        <w:t xml:space="preserve"> contains all relevant documents, such as the application form and the budget form as well as the facilities to upload any relevant document. </w:t>
      </w:r>
    </w:p>
    <w:p w:rsidR="00FD4034" w:rsidRPr="006F6BAA" w:rsidRDefault="00FD4034" w:rsidP="00EA77F8">
      <w:pPr>
        <w:pStyle w:val="Heading2"/>
        <w:rPr>
          <w:sz w:val="24"/>
          <w:szCs w:val="24"/>
        </w:rPr>
      </w:pPr>
      <w:bookmarkStart w:id="282" w:name="_Toc388431009"/>
      <w:bookmarkStart w:id="283" w:name="_Toc388620823"/>
      <w:bookmarkStart w:id="284" w:name="_Toc388862584"/>
      <w:bookmarkStart w:id="285" w:name="_Toc388867219"/>
      <w:bookmarkStart w:id="286" w:name="_Toc388867354"/>
      <w:bookmarkStart w:id="287" w:name="_Toc388869051"/>
      <w:bookmarkStart w:id="288" w:name="_Toc423015998"/>
      <w:bookmarkStart w:id="289" w:name="_Toc423016117"/>
      <w:bookmarkStart w:id="290" w:name="_Toc446498630"/>
      <w:bookmarkStart w:id="291" w:name="_Toc481491549"/>
      <w:bookmarkStart w:id="292" w:name="_Toc484788385"/>
      <w:r w:rsidRPr="006F6BAA">
        <w:rPr>
          <w:sz w:val="24"/>
          <w:szCs w:val="24"/>
        </w:rPr>
        <w:t xml:space="preserve">8.1 </w:t>
      </w:r>
      <w:r w:rsidRPr="006F6BAA">
        <w:rPr>
          <w:sz w:val="24"/>
          <w:szCs w:val="24"/>
        </w:rPr>
        <w:tab/>
        <w:t>Content</w:t>
      </w:r>
      <w:bookmarkEnd w:id="282"/>
      <w:bookmarkEnd w:id="283"/>
      <w:bookmarkEnd w:id="284"/>
      <w:bookmarkEnd w:id="285"/>
      <w:bookmarkEnd w:id="286"/>
      <w:bookmarkEnd w:id="287"/>
      <w:bookmarkEnd w:id="288"/>
      <w:bookmarkEnd w:id="289"/>
      <w:bookmarkEnd w:id="290"/>
      <w:bookmarkEnd w:id="291"/>
      <w:bookmarkEnd w:id="292"/>
      <w:r w:rsidRPr="006F6BAA">
        <w:rPr>
          <w:sz w:val="24"/>
          <w:szCs w:val="24"/>
        </w:rPr>
        <w:t xml:space="preserve"> </w:t>
      </w:r>
    </w:p>
    <w:p w:rsidR="00224403" w:rsidRPr="006F6BAA" w:rsidRDefault="008C3BF9" w:rsidP="00224403">
      <w:pPr>
        <w:tabs>
          <w:tab w:val="left" w:pos="360"/>
        </w:tabs>
        <w:jc w:val="both"/>
        <w:rPr>
          <w:sz w:val="24"/>
          <w:szCs w:val="24"/>
        </w:rPr>
      </w:pPr>
      <w:r w:rsidRPr="006F6BAA">
        <w:rPr>
          <w:sz w:val="24"/>
          <w:szCs w:val="24"/>
        </w:rPr>
        <w:t xml:space="preserve">The application shall be made by filling in Part A of the </w:t>
      </w:r>
      <w:r w:rsidR="00FB57B8">
        <w:rPr>
          <w:sz w:val="24"/>
          <w:szCs w:val="24"/>
        </w:rPr>
        <w:t>application form</w:t>
      </w:r>
      <w:r w:rsidRPr="006F6BAA">
        <w:rPr>
          <w:sz w:val="24"/>
          <w:szCs w:val="24"/>
        </w:rPr>
        <w:t xml:space="preserve"> on the </w:t>
      </w:r>
      <w:r w:rsidR="00FB57B8">
        <w:rPr>
          <w:sz w:val="24"/>
          <w:szCs w:val="24"/>
        </w:rPr>
        <w:t>Participant Portal</w:t>
      </w:r>
      <w:r w:rsidRPr="006F6BAA">
        <w:rPr>
          <w:sz w:val="24"/>
          <w:szCs w:val="24"/>
        </w:rPr>
        <w:t xml:space="preserve">. In addition, the applicant shall fill in Part B of the </w:t>
      </w:r>
      <w:r w:rsidR="00FB57B8">
        <w:rPr>
          <w:sz w:val="24"/>
          <w:szCs w:val="24"/>
        </w:rPr>
        <w:t>application form</w:t>
      </w:r>
      <w:r w:rsidR="00EA77F8" w:rsidRPr="006F6BAA">
        <w:rPr>
          <w:rStyle w:val="FootnoteReference"/>
          <w:sz w:val="24"/>
          <w:szCs w:val="24"/>
        </w:rPr>
        <w:footnoteReference w:id="35"/>
      </w:r>
      <w:r w:rsidRPr="006F6BAA">
        <w:rPr>
          <w:sz w:val="24"/>
          <w:szCs w:val="24"/>
        </w:rPr>
        <w:t xml:space="preserve"> and shall upload the following documents:</w:t>
      </w:r>
    </w:p>
    <w:p w:rsidR="00A6182F" w:rsidRPr="006F6BAA" w:rsidRDefault="00A6182F" w:rsidP="00224403">
      <w:pPr>
        <w:tabs>
          <w:tab w:val="left" w:pos="360"/>
        </w:tabs>
        <w:jc w:val="both"/>
        <w:rPr>
          <w:sz w:val="24"/>
          <w:szCs w:val="24"/>
        </w:rPr>
      </w:pPr>
    </w:p>
    <w:p w:rsidR="008C3BF9" w:rsidRPr="006F6BAA" w:rsidRDefault="008C3BF9" w:rsidP="00DA7CA1">
      <w:pPr>
        <w:pStyle w:val="ListDash1"/>
        <w:numPr>
          <w:ilvl w:val="0"/>
          <w:numId w:val="13"/>
        </w:numPr>
        <w:tabs>
          <w:tab w:val="clear" w:pos="360"/>
          <w:tab w:val="num" w:pos="567"/>
          <w:tab w:val="num" w:pos="1800"/>
        </w:tabs>
        <w:spacing w:before="0" w:after="0"/>
        <w:rPr>
          <w:sz w:val="24"/>
          <w:szCs w:val="24"/>
        </w:rPr>
      </w:pPr>
      <w:r w:rsidRPr="006F6BAA">
        <w:rPr>
          <w:sz w:val="24"/>
          <w:szCs w:val="24"/>
        </w:rPr>
        <w:t>A</w:t>
      </w:r>
      <w:r w:rsidR="00FB57B8">
        <w:rPr>
          <w:sz w:val="24"/>
          <w:szCs w:val="24"/>
        </w:rPr>
        <w:t xml:space="preserve"> scanned copy of Part B of the application f</w:t>
      </w:r>
      <w:r w:rsidRPr="006F6BAA">
        <w:rPr>
          <w:sz w:val="24"/>
          <w:szCs w:val="24"/>
        </w:rPr>
        <w:t>orm, giving full details of:</w:t>
      </w:r>
    </w:p>
    <w:p w:rsidR="008C3BF9" w:rsidRPr="006F6BAA" w:rsidRDefault="008C3BF9" w:rsidP="00BE6A5C">
      <w:pPr>
        <w:pStyle w:val="ListDash1"/>
        <w:numPr>
          <w:ilvl w:val="1"/>
          <w:numId w:val="13"/>
        </w:numPr>
        <w:tabs>
          <w:tab w:val="clear" w:pos="1080"/>
          <w:tab w:val="num" w:pos="567"/>
          <w:tab w:val="num" w:pos="2520"/>
        </w:tabs>
        <w:spacing w:before="0" w:after="0"/>
        <w:ind w:left="567" w:hanging="283"/>
        <w:rPr>
          <w:sz w:val="24"/>
          <w:szCs w:val="24"/>
        </w:rPr>
      </w:pPr>
      <w:r w:rsidRPr="006F6BAA">
        <w:rPr>
          <w:sz w:val="24"/>
          <w:szCs w:val="24"/>
        </w:rPr>
        <w:t>Description and justification of the action;</w:t>
      </w:r>
    </w:p>
    <w:p w:rsidR="008C3BF9" w:rsidRPr="006F6BAA" w:rsidRDefault="008C3BF9" w:rsidP="00BE6A5C">
      <w:pPr>
        <w:pStyle w:val="ListDash1"/>
        <w:numPr>
          <w:ilvl w:val="1"/>
          <w:numId w:val="13"/>
        </w:numPr>
        <w:tabs>
          <w:tab w:val="clear" w:pos="1080"/>
          <w:tab w:val="num" w:pos="567"/>
          <w:tab w:val="num" w:pos="2520"/>
        </w:tabs>
        <w:spacing w:before="0" w:after="0"/>
        <w:ind w:left="567" w:hanging="283"/>
        <w:rPr>
          <w:sz w:val="24"/>
          <w:szCs w:val="24"/>
        </w:rPr>
      </w:pPr>
      <w:r w:rsidRPr="006F6BAA">
        <w:rPr>
          <w:sz w:val="24"/>
          <w:szCs w:val="24"/>
        </w:rPr>
        <w:t>Timetable for the action;</w:t>
      </w:r>
    </w:p>
    <w:p w:rsidR="008C3BF9" w:rsidRPr="006F6BAA" w:rsidRDefault="008C3BF9" w:rsidP="00BE6A5C">
      <w:pPr>
        <w:pStyle w:val="ListDash1"/>
        <w:numPr>
          <w:ilvl w:val="1"/>
          <w:numId w:val="13"/>
        </w:numPr>
        <w:tabs>
          <w:tab w:val="clear" w:pos="1080"/>
          <w:tab w:val="num" w:pos="426"/>
          <w:tab w:val="num" w:pos="2520"/>
        </w:tabs>
        <w:spacing w:before="0" w:after="0"/>
        <w:ind w:left="567" w:hanging="283"/>
        <w:rPr>
          <w:sz w:val="24"/>
          <w:szCs w:val="24"/>
        </w:rPr>
      </w:pPr>
      <w:r w:rsidRPr="006F6BAA">
        <w:rPr>
          <w:sz w:val="24"/>
          <w:szCs w:val="24"/>
        </w:rPr>
        <w:t>Budget estimates, to be filled in the template spreadsheet file</w:t>
      </w:r>
      <w:r w:rsidR="00592374" w:rsidRPr="006F6BAA">
        <w:rPr>
          <w:rStyle w:val="FootnoteReference"/>
          <w:sz w:val="24"/>
          <w:szCs w:val="24"/>
        </w:rPr>
        <w:footnoteReference w:id="36"/>
      </w:r>
      <w:r w:rsidRPr="006F6BAA">
        <w:rPr>
          <w:sz w:val="24"/>
          <w:szCs w:val="24"/>
        </w:rPr>
        <w:t>, with a detailed breakdown of forecasted expenditure and income. The expenditure forecasts shall be justified on the basis of direct quotes from suppliers or copies taken from s</w:t>
      </w:r>
      <w:r w:rsidR="00F45D80" w:rsidRPr="006F6BAA">
        <w:rPr>
          <w:sz w:val="24"/>
          <w:szCs w:val="24"/>
        </w:rPr>
        <w:t>uppliers' (internet) catalogues.</w:t>
      </w:r>
    </w:p>
    <w:p w:rsidR="00EA2AF1" w:rsidRPr="006F6BAA" w:rsidRDefault="00EA2AF1" w:rsidP="00864EBD">
      <w:pPr>
        <w:pStyle w:val="Heading2"/>
        <w:rPr>
          <w:sz w:val="24"/>
          <w:szCs w:val="24"/>
        </w:rPr>
      </w:pPr>
      <w:bookmarkStart w:id="293" w:name="_Toc388431010"/>
      <w:bookmarkStart w:id="294" w:name="_Toc388620824"/>
      <w:bookmarkStart w:id="295" w:name="_Toc388862585"/>
      <w:bookmarkStart w:id="296" w:name="_Toc388867220"/>
      <w:bookmarkStart w:id="297" w:name="_Toc388867355"/>
      <w:bookmarkStart w:id="298" w:name="_Toc388869052"/>
      <w:bookmarkStart w:id="299" w:name="_Toc423015999"/>
      <w:bookmarkStart w:id="300" w:name="_Toc423016118"/>
      <w:bookmarkStart w:id="301" w:name="_Toc446498631"/>
      <w:bookmarkStart w:id="302" w:name="_Toc481491550"/>
      <w:bookmarkStart w:id="303" w:name="_Toc484788386"/>
      <w:r w:rsidRPr="006F6BAA">
        <w:rPr>
          <w:sz w:val="24"/>
          <w:szCs w:val="24"/>
        </w:rPr>
        <w:t>8.2</w:t>
      </w:r>
      <w:r w:rsidRPr="006F6BAA">
        <w:rPr>
          <w:sz w:val="24"/>
          <w:szCs w:val="24"/>
        </w:rPr>
        <w:tab/>
        <w:t>Language</w:t>
      </w:r>
      <w:bookmarkEnd w:id="293"/>
      <w:bookmarkEnd w:id="294"/>
      <w:bookmarkEnd w:id="295"/>
      <w:bookmarkEnd w:id="296"/>
      <w:bookmarkEnd w:id="297"/>
      <w:bookmarkEnd w:id="298"/>
      <w:bookmarkEnd w:id="299"/>
      <w:bookmarkEnd w:id="300"/>
      <w:bookmarkEnd w:id="301"/>
      <w:bookmarkEnd w:id="302"/>
      <w:bookmarkEnd w:id="303"/>
    </w:p>
    <w:p w:rsidR="00224403" w:rsidRPr="006F6BAA" w:rsidRDefault="00EA2AF1" w:rsidP="00DC7B79">
      <w:pPr>
        <w:jc w:val="both"/>
        <w:rPr>
          <w:rFonts w:eastAsiaTheme="minorHAnsi"/>
          <w:sz w:val="24"/>
          <w:szCs w:val="24"/>
        </w:rPr>
      </w:pPr>
      <w:r w:rsidRPr="006F6BAA">
        <w:rPr>
          <w:rFonts w:eastAsiaTheme="minorHAnsi"/>
          <w:sz w:val="24"/>
          <w:szCs w:val="24"/>
        </w:rPr>
        <w:t>The application may be submitted in one of the official languages of the European Union. If an application is submitted in a language other than English, German or French, a summary in English, French or German must be added.</w:t>
      </w:r>
    </w:p>
    <w:p w:rsidR="00EA2AF1" w:rsidRPr="006F6BAA" w:rsidRDefault="00DD2A38" w:rsidP="00864EBD">
      <w:pPr>
        <w:pStyle w:val="Heading2"/>
        <w:rPr>
          <w:sz w:val="24"/>
          <w:szCs w:val="24"/>
        </w:rPr>
      </w:pPr>
      <w:bookmarkStart w:id="304" w:name="_Toc388431011"/>
      <w:bookmarkStart w:id="305" w:name="_Toc388620825"/>
      <w:bookmarkStart w:id="306" w:name="_Toc388862586"/>
      <w:bookmarkStart w:id="307" w:name="_Toc388867221"/>
      <w:bookmarkStart w:id="308" w:name="_Toc388867356"/>
      <w:bookmarkStart w:id="309" w:name="_Toc388869053"/>
      <w:bookmarkStart w:id="310" w:name="_Toc423016000"/>
      <w:bookmarkStart w:id="311" w:name="_Toc423016119"/>
      <w:bookmarkStart w:id="312" w:name="_Toc446498632"/>
      <w:bookmarkStart w:id="313" w:name="_Toc481491551"/>
      <w:bookmarkStart w:id="314" w:name="_Toc484788387"/>
      <w:r w:rsidRPr="006F6BAA">
        <w:rPr>
          <w:sz w:val="24"/>
          <w:szCs w:val="24"/>
        </w:rPr>
        <w:lastRenderedPageBreak/>
        <w:t>8.3</w:t>
      </w:r>
      <w:r w:rsidRPr="006F6BAA">
        <w:rPr>
          <w:sz w:val="24"/>
          <w:szCs w:val="24"/>
        </w:rPr>
        <w:tab/>
        <w:t>Deadline for the submission of applications</w:t>
      </w:r>
      <w:bookmarkEnd w:id="304"/>
      <w:bookmarkEnd w:id="305"/>
      <w:bookmarkEnd w:id="306"/>
      <w:bookmarkEnd w:id="307"/>
      <w:bookmarkEnd w:id="308"/>
      <w:bookmarkEnd w:id="309"/>
      <w:bookmarkEnd w:id="310"/>
      <w:bookmarkEnd w:id="311"/>
      <w:bookmarkEnd w:id="312"/>
      <w:bookmarkEnd w:id="313"/>
      <w:bookmarkEnd w:id="314"/>
    </w:p>
    <w:p w:rsidR="00DD2A38" w:rsidRPr="006F6BAA" w:rsidRDefault="00DD2A38" w:rsidP="00224403">
      <w:pPr>
        <w:tabs>
          <w:tab w:val="left" w:pos="360"/>
        </w:tabs>
        <w:jc w:val="both"/>
        <w:rPr>
          <w:sz w:val="24"/>
          <w:szCs w:val="24"/>
        </w:rPr>
      </w:pPr>
    </w:p>
    <w:p w:rsidR="00AB0224" w:rsidRPr="006F6BAA" w:rsidRDefault="00156B38" w:rsidP="00156B38">
      <w:pPr>
        <w:pBdr>
          <w:top w:val="single" w:sz="4" w:space="1" w:color="auto"/>
          <w:left w:val="single" w:sz="4" w:space="4" w:color="auto"/>
          <w:bottom w:val="single" w:sz="4" w:space="1" w:color="auto"/>
          <w:right w:val="single" w:sz="4" w:space="31" w:color="auto"/>
        </w:pBdr>
        <w:ind w:right="610"/>
        <w:jc w:val="center"/>
        <w:rPr>
          <w:b/>
          <w:sz w:val="24"/>
          <w:szCs w:val="24"/>
        </w:rPr>
      </w:pPr>
      <w:r w:rsidRPr="006F6BAA">
        <w:rPr>
          <w:b/>
          <w:sz w:val="24"/>
          <w:szCs w:val="24"/>
        </w:rPr>
        <w:t xml:space="preserve">THE DEADLINE FOR SUBMISSION OF THE APPLICATION UNDER THE CALL FOR PROPOSALS </w:t>
      </w:r>
      <w:r w:rsidR="005D2B39" w:rsidRPr="006F6BAA">
        <w:rPr>
          <w:b/>
          <w:sz w:val="24"/>
          <w:szCs w:val="24"/>
        </w:rPr>
        <w:t>LAW</w:t>
      </w:r>
      <w:r w:rsidRPr="006F6BAA">
        <w:rPr>
          <w:b/>
          <w:sz w:val="24"/>
          <w:szCs w:val="24"/>
        </w:rPr>
        <w:t xml:space="preserve"> TRAINING AND STUDIES IS:</w:t>
      </w:r>
    </w:p>
    <w:p w:rsidR="00156B38" w:rsidRPr="006F6BAA" w:rsidRDefault="007A69D8" w:rsidP="00156B38">
      <w:pPr>
        <w:pBdr>
          <w:top w:val="single" w:sz="4" w:space="1" w:color="auto"/>
          <w:left w:val="single" w:sz="4" w:space="4" w:color="auto"/>
          <w:bottom w:val="single" w:sz="4" w:space="1" w:color="auto"/>
          <w:right w:val="single" w:sz="4" w:space="31" w:color="auto"/>
        </w:pBdr>
        <w:ind w:right="610"/>
        <w:jc w:val="center"/>
        <w:rPr>
          <w:b/>
          <w:sz w:val="24"/>
          <w:szCs w:val="24"/>
        </w:rPr>
      </w:pPr>
      <w:r w:rsidRPr="006F6BAA">
        <w:rPr>
          <w:b/>
          <w:sz w:val="24"/>
          <w:szCs w:val="24"/>
        </w:rPr>
        <w:t xml:space="preserve">WEDNESDAY, </w:t>
      </w:r>
      <w:r w:rsidR="008B6097" w:rsidRPr="006F6BAA">
        <w:rPr>
          <w:b/>
          <w:sz w:val="24"/>
          <w:szCs w:val="24"/>
        </w:rPr>
        <w:t>9 August</w:t>
      </w:r>
      <w:r w:rsidR="00156B38" w:rsidRPr="006F6BAA">
        <w:rPr>
          <w:b/>
          <w:sz w:val="24"/>
          <w:szCs w:val="24"/>
        </w:rPr>
        <w:t xml:space="preserve"> 2017</w:t>
      </w:r>
    </w:p>
    <w:p w:rsidR="00224403" w:rsidRPr="006F6BAA" w:rsidRDefault="00224403" w:rsidP="00224403">
      <w:pPr>
        <w:tabs>
          <w:tab w:val="left" w:pos="360"/>
        </w:tabs>
        <w:jc w:val="both"/>
        <w:rPr>
          <w:sz w:val="24"/>
          <w:szCs w:val="24"/>
        </w:rPr>
      </w:pPr>
    </w:p>
    <w:p w:rsidR="00AC1218" w:rsidRPr="006F6BAA" w:rsidRDefault="00463C55" w:rsidP="00E10539">
      <w:pPr>
        <w:jc w:val="both"/>
        <w:rPr>
          <w:rFonts w:eastAsiaTheme="minorHAnsi"/>
          <w:sz w:val="24"/>
          <w:szCs w:val="24"/>
        </w:rPr>
      </w:pPr>
      <w:r w:rsidRPr="006F6BAA">
        <w:rPr>
          <w:sz w:val="24"/>
          <w:szCs w:val="24"/>
        </w:rPr>
        <w:t xml:space="preserve">Once submitted, the </w:t>
      </w:r>
      <w:r w:rsidR="00FB57B8">
        <w:rPr>
          <w:sz w:val="24"/>
          <w:szCs w:val="24"/>
        </w:rPr>
        <w:t>Participant Portal</w:t>
      </w:r>
      <w:r w:rsidRPr="006F6BAA">
        <w:rPr>
          <w:sz w:val="24"/>
          <w:szCs w:val="24"/>
        </w:rPr>
        <w:t xml:space="preserve"> will generate a receipt notification for the application, containing a reference number that shall be used in all correspondence with the Commission. </w:t>
      </w:r>
      <w:r w:rsidR="00E10539" w:rsidRPr="006F6BAA">
        <w:rPr>
          <w:rFonts w:eastAsiaTheme="minorHAnsi"/>
          <w:sz w:val="24"/>
          <w:szCs w:val="24"/>
        </w:rPr>
        <w:t xml:space="preserve">The applicant is strongly recommended to submit its application a few days before the expiration of the deadline to avoid any last-minute bottlenecks. </w:t>
      </w:r>
    </w:p>
    <w:p w:rsidR="002417EA" w:rsidRPr="006F6BAA" w:rsidRDefault="002417EA" w:rsidP="00224403">
      <w:pPr>
        <w:tabs>
          <w:tab w:val="left" w:pos="360"/>
        </w:tabs>
        <w:jc w:val="both"/>
        <w:rPr>
          <w:sz w:val="24"/>
          <w:szCs w:val="24"/>
        </w:rPr>
      </w:pPr>
    </w:p>
    <w:p w:rsidR="002417EA" w:rsidRPr="006F6BAA" w:rsidRDefault="002417EA" w:rsidP="00224403">
      <w:pPr>
        <w:tabs>
          <w:tab w:val="left" w:pos="360"/>
        </w:tabs>
        <w:jc w:val="both"/>
        <w:rPr>
          <w:sz w:val="24"/>
          <w:szCs w:val="24"/>
        </w:rPr>
      </w:pPr>
      <w:r w:rsidRPr="006F6BAA">
        <w:rPr>
          <w:sz w:val="24"/>
          <w:szCs w:val="24"/>
        </w:rPr>
        <w:t>Any other means of submission, such as delivery by hand to the premises of the European Anti-Fraud Office in Brussels, will not be accepted.</w:t>
      </w:r>
    </w:p>
    <w:p w:rsidR="0011102C" w:rsidRPr="006F6BAA" w:rsidRDefault="0011102C" w:rsidP="009C7533">
      <w:pPr>
        <w:tabs>
          <w:tab w:val="left" w:pos="360"/>
        </w:tabs>
        <w:jc w:val="both"/>
        <w:rPr>
          <w:sz w:val="24"/>
          <w:szCs w:val="24"/>
        </w:rPr>
      </w:pPr>
    </w:p>
    <w:p w:rsidR="005036E1" w:rsidRPr="006F6BAA" w:rsidRDefault="005B46E4" w:rsidP="005B46E4">
      <w:pPr>
        <w:pStyle w:val="Heading1"/>
        <w:rPr>
          <w:iCs/>
          <w:sz w:val="24"/>
          <w:szCs w:val="24"/>
        </w:rPr>
      </w:pPr>
      <w:bookmarkStart w:id="315" w:name="_Toc388430602"/>
      <w:bookmarkStart w:id="316" w:name="_Toc388431004"/>
      <w:bookmarkStart w:id="317" w:name="_Toc388620818"/>
      <w:bookmarkStart w:id="318" w:name="_Toc388862579"/>
      <w:bookmarkStart w:id="319" w:name="_Toc388867214"/>
      <w:bookmarkStart w:id="320" w:name="_Toc388867349"/>
      <w:bookmarkStart w:id="321" w:name="_Toc388869046"/>
      <w:bookmarkStart w:id="322" w:name="_Toc423016002"/>
      <w:bookmarkStart w:id="323" w:name="_Toc423016121"/>
      <w:bookmarkStart w:id="324" w:name="_Toc446498635"/>
      <w:bookmarkStart w:id="325" w:name="_Toc481491552"/>
      <w:bookmarkStart w:id="326" w:name="_Toc484788388"/>
      <w:r w:rsidRPr="006F6BAA">
        <w:rPr>
          <w:sz w:val="24"/>
          <w:szCs w:val="24"/>
        </w:rPr>
        <w:t>9.</w:t>
      </w:r>
      <w:r w:rsidRPr="006F6BAA">
        <w:rPr>
          <w:sz w:val="24"/>
          <w:szCs w:val="24"/>
        </w:rPr>
        <w:tab/>
      </w:r>
      <w:r w:rsidR="00743391" w:rsidRPr="006F6BAA">
        <w:rPr>
          <w:sz w:val="24"/>
          <w:szCs w:val="24"/>
        </w:rPr>
        <w:t>Notification, Implementation and Payment</w:t>
      </w:r>
      <w:bookmarkEnd w:id="315"/>
      <w:bookmarkEnd w:id="316"/>
      <w:bookmarkEnd w:id="317"/>
      <w:bookmarkEnd w:id="318"/>
      <w:bookmarkEnd w:id="319"/>
      <w:bookmarkEnd w:id="320"/>
      <w:bookmarkEnd w:id="321"/>
      <w:bookmarkEnd w:id="322"/>
      <w:bookmarkEnd w:id="323"/>
      <w:bookmarkEnd w:id="324"/>
      <w:bookmarkEnd w:id="325"/>
      <w:bookmarkEnd w:id="326"/>
      <w:r w:rsidR="00743391" w:rsidRPr="006F6BAA">
        <w:rPr>
          <w:sz w:val="24"/>
          <w:szCs w:val="24"/>
        </w:rPr>
        <w:tab/>
      </w:r>
    </w:p>
    <w:p w:rsidR="00743391" w:rsidRPr="006F6BAA" w:rsidRDefault="00743391" w:rsidP="005B46E4">
      <w:pPr>
        <w:pStyle w:val="Heading2"/>
        <w:rPr>
          <w:sz w:val="24"/>
          <w:szCs w:val="24"/>
        </w:rPr>
      </w:pPr>
      <w:bookmarkStart w:id="327" w:name="_Toc388867215"/>
      <w:bookmarkStart w:id="328" w:name="_Toc388867350"/>
      <w:bookmarkStart w:id="329" w:name="_Toc388869047"/>
      <w:bookmarkStart w:id="330" w:name="_Toc423016003"/>
      <w:bookmarkStart w:id="331" w:name="_Toc423016122"/>
      <w:bookmarkStart w:id="332" w:name="_Toc446498636"/>
      <w:bookmarkStart w:id="333" w:name="_Toc481491553"/>
      <w:bookmarkStart w:id="334" w:name="_Toc484788389"/>
      <w:bookmarkStart w:id="335" w:name="_Toc388619377"/>
      <w:r w:rsidRPr="006F6BAA">
        <w:rPr>
          <w:sz w:val="24"/>
          <w:szCs w:val="24"/>
        </w:rPr>
        <w:t>9.1</w:t>
      </w:r>
      <w:r w:rsidRPr="006F6BAA">
        <w:rPr>
          <w:sz w:val="24"/>
          <w:szCs w:val="24"/>
        </w:rPr>
        <w:tab/>
        <w:t>Notification</w:t>
      </w:r>
      <w:bookmarkEnd w:id="327"/>
      <w:bookmarkEnd w:id="328"/>
      <w:bookmarkEnd w:id="329"/>
      <w:bookmarkEnd w:id="330"/>
      <w:bookmarkEnd w:id="331"/>
      <w:bookmarkEnd w:id="332"/>
      <w:bookmarkEnd w:id="333"/>
      <w:bookmarkEnd w:id="334"/>
    </w:p>
    <w:p w:rsidR="007A69D8" w:rsidRPr="006F6BAA" w:rsidRDefault="005036E1" w:rsidP="000E190D">
      <w:pPr>
        <w:jc w:val="both"/>
        <w:rPr>
          <w:rFonts w:eastAsiaTheme="minorHAnsi"/>
          <w:sz w:val="24"/>
          <w:szCs w:val="24"/>
        </w:rPr>
      </w:pPr>
      <w:r w:rsidRPr="006F6BAA">
        <w:rPr>
          <w:sz w:val="24"/>
          <w:szCs w:val="24"/>
        </w:rPr>
        <w:t xml:space="preserve">Applicants will be notified within a period of 6 months after the deadline mentioned under point </w:t>
      </w:r>
      <w:r w:rsidR="00BC124A" w:rsidRPr="006F6BAA">
        <w:rPr>
          <w:sz w:val="24"/>
          <w:szCs w:val="24"/>
        </w:rPr>
        <w:t>8</w:t>
      </w:r>
      <w:r w:rsidRPr="006F6BAA">
        <w:rPr>
          <w:sz w:val="24"/>
          <w:szCs w:val="24"/>
        </w:rPr>
        <w:t>.3 of the outcome of the evaluation procedure. If questions arise</w:t>
      </w:r>
      <w:r w:rsidR="00CF6FC9" w:rsidRPr="006F6BAA">
        <w:rPr>
          <w:sz w:val="24"/>
          <w:szCs w:val="24"/>
        </w:rPr>
        <w:t xml:space="preserve"> </w:t>
      </w:r>
      <w:r w:rsidR="00CF6FC9" w:rsidRPr="006F6BAA">
        <w:rPr>
          <w:b/>
          <w:sz w:val="24"/>
          <w:szCs w:val="24"/>
        </w:rPr>
        <w:t>as result of the examination of the eligibility, exclusion and/or selection criteria,</w:t>
      </w:r>
      <w:r w:rsidR="00CF6FC9" w:rsidRPr="006F6BAA">
        <w:rPr>
          <w:sz w:val="24"/>
          <w:szCs w:val="24"/>
        </w:rPr>
        <w:t xml:space="preserve"> </w:t>
      </w:r>
      <w:r w:rsidRPr="006F6BAA">
        <w:rPr>
          <w:sz w:val="24"/>
          <w:szCs w:val="24"/>
        </w:rPr>
        <w:t xml:space="preserve">the Commission will contact the person indicated </w:t>
      </w:r>
      <w:r w:rsidR="00CF6FC9" w:rsidRPr="006F6BAA">
        <w:rPr>
          <w:sz w:val="24"/>
          <w:szCs w:val="24"/>
        </w:rPr>
        <w:t xml:space="preserve">in the </w:t>
      </w:r>
      <w:r w:rsidRPr="006F6BAA">
        <w:rPr>
          <w:sz w:val="24"/>
          <w:szCs w:val="24"/>
        </w:rPr>
        <w:t xml:space="preserve">application form. </w:t>
      </w:r>
      <w:r w:rsidR="000E190D" w:rsidRPr="006F6BAA">
        <w:rPr>
          <w:rFonts w:eastAsiaTheme="minorHAnsi"/>
          <w:sz w:val="24"/>
          <w:szCs w:val="24"/>
        </w:rPr>
        <w:t xml:space="preserve">The applicant is therefore strongly recommended to notify the Commission of any changes in the name(s) of the contact person(s). </w:t>
      </w:r>
    </w:p>
    <w:p w:rsidR="00137642" w:rsidRPr="006F6BAA" w:rsidRDefault="00137642" w:rsidP="000E190D">
      <w:pPr>
        <w:jc w:val="both"/>
        <w:rPr>
          <w:rFonts w:eastAsiaTheme="minorHAnsi"/>
          <w:sz w:val="24"/>
          <w:szCs w:val="24"/>
        </w:rPr>
      </w:pPr>
    </w:p>
    <w:p w:rsidR="00D52FFD" w:rsidRPr="006F6BAA" w:rsidRDefault="005036E1" w:rsidP="00D52FFD">
      <w:pPr>
        <w:jc w:val="both"/>
        <w:rPr>
          <w:rFonts w:eastAsiaTheme="minorHAnsi"/>
          <w:sz w:val="24"/>
          <w:szCs w:val="24"/>
        </w:rPr>
      </w:pPr>
      <w:r w:rsidRPr="006F6BAA">
        <w:rPr>
          <w:sz w:val="24"/>
          <w:szCs w:val="24"/>
        </w:rPr>
        <w:t>If the Commission decides to award a grant to an application, the Commission will</w:t>
      </w:r>
      <w:r w:rsidR="00F93682" w:rsidRPr="006F6BAA">
        <w:rPr>
          <w:sz w:val="24"/>
          <w:szCs w:val="24"/>
        </w:rPr>
        <w:t xml:space="preserve"> notify the applicant</w:t>
      </w:r>
      <w:r w:rsidRPr="006F6BAA">
        <w:rPr>
          <w:sz w:val="24"/>
          <w:szCs w:val="24"/>
        </w:rPr>
        <w:t xml:space="preserve"> </w:t>
      </w:r>
      <w:r w:rsidR="00F93682" w:rsidRPr="006F6BAA">
        <w:rPr>
          <w:sz w:val="24"/>
          <w:szCs w:val="24"/>
        </w:rPr>
        <w:t>and will ask for a confirmation of its interest</w:t>
      </w:r>
      <w:r w:rsidR="001C35EE" w:rsidRPr="006F6BAA">
        <w:rPr>
          <w:sz w:val="24"/>
          <w:szCs w:val="24"/>
        </w:rPr>
        <w:t xml:space="preserve">, to be given via the </w:t>
      </w:r>
      <w:r w:rsidR="00FB57B8">
        <w:rPr>
          <w:sz w:val="24"/>
          <w:szCs w:val="24"/>
        </w:rPr>
        <w:t>Participant Portal</w:t>
      </w:r>
      <w:r w:rsidR="001C35EE" w:rsidRPr="006F6BAA">
        <w:rPr>
          <w:sz w:val="24"/>
          <w:szCs w:val="24"/>
        </w:rPr>
        <w:t>,</w:t>
      </w:r>
      <w:r w:rsidR="00F93682" w:rsidRPr="006F6BAA">
        <w:rPr>
          <w:sz w:val="24"/>
          <w:szCs w:val="24"/>
        </w:rPr>
        <w:t xml:space="preserve"> </w:t>
      </w:r>
      <w:r w:rsidR="00F93682" w:rsidRPr="006F6BAA">
        <w:rPr>
          <w:b/>
          <w:sz w:val="24"/>
          <w:szCs w:val="24"/>
        </w:rPr>
        <w:t>within 5 working days</w:t>
      </w:r>
      <w:r w:rsidR="001C35EE" w:rsidRPr="006F6BAA">
        <w:rPr>
          <w:rStyle w:val="FootnoteReference"/>
          <w:b/>
          <w:sz w:val="24"/>
          <w:szCs w:val="24"/>
        </w:rPr>
        <w:footnoteReference w:id="37"/>
      </w:r>
      <w:r w:rsidR="001C35EE" w:rsidRPr="006F6BAA">
        <w:rPr>
          <w:sz w:val="24"/>
          <w:szCs w:val="24"/>
        </w:rPr>
        <w:t>.</w:t>
      </w:r>
      <w:r w:rsidR="007E4FE0" w:rsidRPr="006F6BAA">
        <w:rPr>
          <w:sz w:val="24"/>
          <w:szCs w:val="24"/>
        </w:rPr>
        <w:t xml:space="preserve"> </w:t>
      </w:r>
      <w:r w:rsidR="00D52FFD" w:rsidRPr="006F6BAA">
        <w:rPr>
          <w:rFonts w:eastAsiaTheme="minorHAnsi"/>
          <w:sz w:val="24"/>
          <w:szCs w:val="24"/>
        </w:rPr>
        <w:t xml:space="preserve">Upon receipt of this confirmation, a grant agreement will be prepared and signed, first by the beneficiary and then by the Commission. </w:t>
      </w:r>
      <w:r w:rsidR="00D52FFD" w:rsidRPr="006F6BAA">
        <w:rPr>
          <w:rFonts w:eastAsiaTheme="minorHAnsi"/>
          <w:b/>
          <w:sz w:val="24"/>
          <w:szCs w:val="24"/>
        </w:rPr>
        <w:t xml:space="preserve">The grant agreement only enters into force once the Commission has signed and applicants shall take account of this </w:t>
      </w:r>
      <w:r w:rsidR="00D52FFD" w:rsidRPr="006F6BAA">
        <w:rPr>
          <w:rFonts w:eastAsiaTheme="minorHAnsi"/>
          <w:sz w:val="24"/>
          <w:szCs w:val="24"/>
        </w:rPr>
        <w:t xml:space="preserve">in the planning of the action as financial commitments made for the implementation of the action before the entry into force, or after the closing date of the grant agreement, are not eligible for funding. </w:t>
      </w:r>
    </w:p>
    <w:p w:rsidR="00CA08FE" w:rsidRPr="006F6BAA" w:rsidRDefault="00CA08FE" w:rsidP="00D52FFD">
      <w:pPr>
        <w:jc w:val="both"/>
        <w:rPr>
          <w:rFonts w:eastAsiaTheme="minorHAnsi"/>
          <w:sz w:val="24"/>
          <w:szCs w:val="24"/>
        </w:rPr>
      </w:pPr>
    </w:p>
    <w:p w:rsidR="00D52FFD" w:rsidRPr="006F6BAA" w:rsidRDefault="00D52FFD" w:rsidP="00D52FFD">
      <w:pPr>
        <w:jc w:val="both"/>
        <w:rPr>
          <w:rFonts w:eastAsiaTheme="minorHAnsi"/>
          <w:sz w:val="24"/>
          <w:szCs w:val="24"/>
        </w:rPr>
      </w:pPr>
      <w:r w:rsidRPr="006F6BAA">
        <w:rPr>
          <w:rFonts w:eastAsiaTheme="minorHAnsi"/>
          <w:sz w:val="24"/>
          <w:szCs w:val="24"/>
        </w:rPr>
        <w:t>If an application was not successful, the applicant will receive information on the score it obtained for each criterion, its ranking as well as a short qualitative description of the justifications given by the Evaluation Committee for its score.</w:t>
      </w:r>
    </w:p>
    <w:p w:rsidR="00D52FFD" w:rsidRPr="006F6BAA" w:rsidRDefault="00D52FFD" w:rsidP="00D52FFD">
      <w:pPr>
        <w:jc w:val="both"/>
        <w:rPr>
          <w:rFonts w:eastAsiaTheme="minorHAnsi"/>
          <w:sz w:val="24"/>
          <w:szCs w:val="24"/>
        </w:rPr>
      </w:pPr>
    </w:p>
    <w:p w:rsidR="005036E1" w:rsidRPr="006F6BAA" w:rsidRDefault="00D52FFD" w:rsidP="0042219F">
      <w:pPr>
        <w:jc w:val="both"/>
        <w:rPr>
          <w:rFonts w:eastAsiaTheme="minorHAnsi"/>
          <w:sz w:val="24"/>
          <w:szCs w:val="24"/>
        </w:rPr>
      </w:pPr>
      <w:r w:rsidRPr="006F6BAA">
        <w:rPr>
          <w:rFonts w:eastAsiaTheme="minorHAnsi"/>
          <w:sz w:val="24"/>
          <w:szCs w:val="24"/>
        </w:rPr>
        <w:t xml:space="preserve">The examination of the applications will take place in and </w:t>
      </w:r>
      <w:r w:rsidR="00304D7D">
        <w:rPr>
          <w:rFonts w:eastAsiaTheme="minorHAnsi"/>
          <w:sz w:val="24"/>
          <w:szCs w:val="24"/>
        </w:rPr>
        <w:t>August</w:t>
      </w:r>
      <w:r w:rsidRPr="006F6BAA">
        <w:rPr>
          <w:rFonts w:eastAsiaTheme="minorHAnsi"/>
          <w:sz w:val="24"/>
          <w:szCs w:val="24"/>
        </w:rPr>
        <w:t>-</w:t>
      </w:r>
      <w:r w:rsidR="001F0C27" w:rsidRPr="006F6BAA">
        <w:rPr>
          <w:rFonts w:eastAsiaTheme="minorHAnsi"/>
          <w:sz w:val="24"/>
          <w:szCs w:val="24"/>
        </w:rPr>
        <w:t>October</w:t>
      </w:r>
      <w:r w:rsidRPr="006F6BAA">
        <w:rPr>
          <w:rFonts w:eastAsiaTheme="minorHAnsi"/>
          <w:sz w:val="24"/>
          <w:szCs w:val="24"/>
        </w:rPr>
        <w:t xml:space="preserve"> 2017. This period may be extended if the Commission receives an unexpected high number of applications. In that case, the Commission will inform all applicants of the revised timetable for the </w:t>
      </w:r>
      <w:r w:rsidR="00304D7D">
        <w:rPr>
          <w:rFonts w:eastAsiaTheme="minorHAnsi"/>
          <w:sz w:val="24"/>
          <w:szCs w:val="24"/>
        </w:rPr>
        <w:t>evaluation of the applications.</w:t>
      </w:r>
    </w:p>
    <w:p w:rsidR="0042219F" w:rsidRPr="006F6BAA" w:rsidRDefault="0042219F" w:rsidP="00E56D00">
      <w:pPr>
        <w:pStyle w:val="Heading2"/>
        <w:rPr>
          <w:sz w:val="24"/>
          <w:szCs w:val="24"/>
        </w:rPr>
      </w:pPr>
      <w:bookmarkStart w:id="336" w:name="_Toc388431006"/>
      <w:bookmarkStart w:id="337" w:name="_Toc388620820"/>
      <w:bookmarkStart w:id="338" w:name="_Toc388862581"/>
      <w:bookmarkStart w:id="339" w:name="_Toc388867216"/>
      <w:bookmarkStart w:id="340" w:name="_Toc388867351"/>
      <w:bookmarkStart w:id="341" w:name="_Toc388869048"/>
      <w:bookmarkStart w:id="342" w:name="_Toc423016004"/>
      <w:bookmarkStart w:id="343" w:name="_Toc423016123"/>
      <w:bookmarkStart w:id="344" w:name="_Toc446498637"/>
      <w:bookmarkStart w:id="345" w:name="_Toc481491554"/>
      <w:bookmarkStart w:id="346" w:name="_Toc484788390"/>
      <w:r w:rsidRPr="006F6BAA">
        <w:rPr>
          <w:sz w:val="24"/>
          <w:szCs w:val="24"/>
        </w:rPr>
        <w:lastRenderedPageBreak/>
        <w:t>9.2</w:t>
      </w:r>
      <w:r w:rsidRPr="006F6BAA">
        <w:rPr>
          <w:sz w:val="24"/>
          <w:szCs w:val="24"/>
        </w:rPr>
        <w:tab/>
        <w:t>Implementation</w:t>
      </w:r>
      <w:bookmarkEnd w:id="336"/>
      <w:bookmarkEnd w:id="337"/>
      <w:bookmarkEnd w:id="338"/>
      <w:bookmarkEnd w:id="339"/>
      <w:bookmarkEnd w:id="340"/>
      <w:bookmarkEnd w:id="341"/>
      <w:bookmarkEnd w:id="342"/>
      <w:bookmarkEnd w:id="343"/>
      <w:bookmarkEnd w:id="344"/>
      <w:bookmarkEnd w:id="345"/>
      <w:bookmarkEnd w:id="346"/>
    </w:p>
    <w:p w:rsidR="001856D7" w:rsidRPr="006F6BAA" w:rsidRDefault="001856D7" w:rsidP="00643380">
      <w:pPr>
        <w:pStyle w:val="NormalWeb"/>
        <w:tabs>
          <w:tab w:val="left" w:pos="9072"/>
        </w:tabs>
        <w:jc w:val="both"/>
        <w:rPr>
          <w:sz w:val="24"/>
          <w:szCs w:val="24"/>
        </w:rPr>
      </w:pPr>
      <w:r w:rsidRPr="006F6BAA">
        <w:rPr>
          <w:sz w:val="24"/>
          <w:szCs w:val="24"/>
        </w:rPr>
        <w:t>The beneficiaries undertake to carry out the action as it was presented in the application.</w:t>
      </w:r>
      <w:r w:rsidR="005A1297" w:rsidRPr="006F6BAA">
        <w:rPr>
          <w:sz w:val="24"/>
          <w:szCs w:val="24"/>
        </w:rPr>
        <w:t xml:space="preserve"> The duration of the grant agreement shall not be longer than </w:t>
      </w:r>
      <w:r w:rsidR="006364D0" w:rsidRPr="006F6BAA">
        <w:rPr>
          <w:sz w:val="24"/>
          <w:szCs w:val="24"/>
        </w:rPr>
        <w:t xml:space="preserve">12 months for a conference and </w:t>
      </w:r>
      <w:r w:rsidR="005A1297" w:rsidRPr="006F6BAA">
        <w:rPr>
          <w:sz w:val="24"/>
          <w:szCs w:val="24"/>
        </w:rPr>
        <w:t>18 months</w:t>
      </w:r>
      <w:r w:rsidR="006F65BA" w:rsidRPr="006F6BAA">
        <w:rPr>
          <w:sz w:val="24"/>
          <w:szCs w:val="24"/>
        </w:rPr>
        <w:t xml:space="preserve"> </w:t>
      </w:r>
      <w:r w:rsidR="006364D0" w:rsidRPr="006F6BAA">
        <w:rPr>
          <w:sz w:val="24"/>
          <w:szCs w:val="24"/>
        </w:rPr>
        <w:t>for a comparative law study (</w:t>
      </w:r>
      <w:r w:rsidR="006F65BA" w:rsidRPr="006F6BAA">
        <w:rPr>
          <w:sz w:val="24"/>
          <w:szCs w:val="24"/>
        </w:rPr>
        <w:t>from the signature of the grant agreement by both parties</w:t>
      </w:r>
      <w:r w:rsidR="006364D0" w:rsidRPr="006F6BAA">
        <w:rPr>
          <w:sz w:val="24"/>
          <w:szCs w:val="24"/>
        </w:rPr>
        <w:t>)</w:t>
      </w:r>
      <w:r w:rsidR="00F10E58" w:rsidRPr="006F6BAA">
        <w:rPr>
          <w:sz w:val="24"/>
          <w:szCs w:val="24"/>
        </w:rPr>
        <w:t xml:space="preserve">. </w:t>
      </w:r>
      <w:r w:rsidRPr="006F6BAA">
        <w:rPr>
          <w:b/>
          <w:sz w:val="24"/>
          <w:szCs w:val="24"/>
        </w:rPr>
        <w:t>No modification to the action is permitted without the prior written approval of the Commission</w:t>
      </w:r>
      <w:r w:rsidRPr="006F6BAA">
        <w:rPr>
          <w:sz w:val="24"/>
          <w:szCs w:val="24"/>
        </w:rPr>
        <w:t>.</w:t>
      </w:r>
    </w:p>
    <w:p w:rsidR="001856D7" w:rsidRPr="006F6BAA" w:rsidRDefault="001856D7" w:rsidP="001856D7">
      <w:pPr>
        <w:pStyle w:val="NormalWeb"/>
        <w:jc w:val="both"/>
        <w:rPr>
          <w:sz w:val="24"/>
          <w:szCs w:val="24"/>
          <w:lang w:val="en-US"/>
        </w:rPr>
      </w:pPr>
      <w:r w:rsidRPr="006F6BAA">
        <w:rPr>
          <w:sz w:val="24"/>
          <w:szCs w:val="24"/>
        </w:rPr>
        <w:t>T</w:t>
      </w:r>
      <w:r w:rsidRPr="006F6BAA">
        <w:rPr>
          <w:sz w:val="24"/>
          <w:szCs w:val="24"/>
          <w:lang w:val="en-US"/>
        </w:rPr>
        <w:t>he grant agreement must be signed by both parties before the beneficiary can make any financial commitments in order to implement the action.</w:t>
      </w:r>
    </w:p>
    <w:p w:rsidR="002C6B44" w:rsidRPr="006F6BAA" w:rsidRDefault="002C6B44" w:rsidP="00E4097E">
      <w:pPr>
        <w:pStyle w:val="Heading2"/>
        <w:rPr>
          <w:sz w:val="24"/>
          <w:szCs w:val="24"/>
        </w:rPr>
      </w:pPr>
      <w:bookmarkStart w:id="347" w:name="_Toc388431007"/>
      <w:bookmarkStart w:id="348" w:name="_Toc388620821"/>
      <w:bookmarkStart w:id="349" w:name="_Toc388862582"/>
      <w:bookmarkStart w:id="350" w:name="_Toc388867217"/>
      <w:bookmarkStart w:id="351" w:name="_Toc388867352"/>
      <w:bookmarkStart w:id="352" w:name="_Toc388869049"/>
      <w:bookmarkStart w:id="353" w:name="_Toc423016005"/>
      <w:bookmarkStart w:id="354" w:name="_Toc423016124"/>
      <w:bookmarkStart w:id="355" w:name="_Toc446498638"/>
      <w:bookmarkStart w:id="356" w:name="_Toc481491555"/>
      <w:bookmarkStart w:id="357" w:name="_Toc484788391"/>
      <w:r w:rsidRPr="006F6BAA">
        <w:rPr>
          <w:sz w:val="24"/>
          <w:szCs w:val="24"/>
        </w:rPr>
        <w:t xml:space="preserve">9.3 </w:t>
      </w:r>
      <w:r w:rsidRPr="006F6BAA">
        <w:rPr>
          <w:sz w:val="24"/>
          <w:szCs w:val="24"/>
        </w:rPr>
        <w:tab/>
        <w:t>Payment</w:t>
      </w:r>
      <w:bookmarkEnd w:id="347"/>
      <w:bookmarkEnd w:id="348"/>
      <w:bookmarkEnd w:id="349"/>
      <w:bookmarkEnd w:id="350"/>
      <w:bookmarkEnd w:id="351"/>
      <w:bookmarkEnd w:id="352"/>
      <w:bookmarkEnd w:id="353"/>
      <w:bookmarkEnd w:id="354"/>
      <w:bookmarkEnd w:id="355"/>
      <w:bookmarkEnd w:id="356"/>
      <w:bookmarkEnd w:id="357"/>
    </w:p>
    <w:p w:rsidR="00AE2DC0" w:rsidRPr="006F6BAA" w:rsidRDefault="00AE2DC0" w:rsidP="00AE2DC0">
      <w:pPr>
        <w:pStyle w:val="ListDash"/>
        <w:numPr>
          <w:ilvl w:val="0"/>
          <w:numId w:val="0"/>
        </w:numPr>
        <w:tabs>
          <w:tab w:val="left" w:pos="9072"/>
        </w:tabs>
        <w:ind w:right="0"/>
        <w:rPr>
          <w:b/>
          <w:sz w:val="24"/>
          <w:szCs w:val="24"/>
          <w:lang w:val="en-US"/>
        </w:rPr>
      </w:pPr>
      <w:r w:rsidRPr="006F6BAA">
        <w:rPr>
          <w:sz w:val="24"/>
          <w:szCs w:val="24"/>
          <w:lang w:val="en-US"/>
        </w:rPr>
        <w:t xml:space="preserve">An amount equivalent to 50% of the grant will be paid within 30 days of the date when the Commission signs the agreement. The balance will be paid within 60 days following receipt </w:t>
      </w:r>
      <w:r w:rsidRPr="006F6BAA">
        <w:rPr>
          <w:b/>
          <w:sz w:val="24"/>
          <w:szCs w:val="24"/>
          <w:lang w:val="en-US"/>
        </w:rPr>
        <w:t>and approval</w:t>
      </w:r>
      <w:r w:rsidRPr="006F6BAA">
        <w:rPr>
          <w:sz w:val="24"/>
          <w:szCs w:val="24"/>
          <w:lang w:val="en-US"/>
        </w:rPr>
        <w:t xml:space="preserve"> of the final technical report and the final financial report. All reports have to be drafted on the basis of the templates </w:t>
      </w:r>
      <w:r w:rsidR="002B0560" w:rsidRPr="006F6BAA">
        <w:rPr>
          <w:sz w:val="24"/>
          <w:szCs w:val="24"/>
          <w:lang w:val="en-US"/>
        </w:rPr>
        <w:t xml:space="preserve">provided. </w:t>
      </w:r>
    </w:p>
    <w:p w:rsidR="00AE2DC0" w:rsidRPr="006F6BAA" w:rsidRDefault="00AE2DC0" w:rsidP="00AE2DC0">
      <w:pPr>
        <w:pStyle w:val="ListDash"/>
        <w:numPr>
          <w:ilvl w:val="0"/>
          <w:numId w:val="0"/>
        </w:numPr>
        <w:tabs>
          <w:tab w:val="left" w:pos="9072"/>
        </w:tabs>
        <w:ind w:right="0"/>
        <w:rPr>
          <w:sz w:val="24"/>
          <w:szCs w:val="24"/>
          <w:lang w:val="en-GB"/>
        </w:rPr>
      </w:pPr>
      <w:r w:rsidRPr="006F6BAA">
        <w:rPr>
          <w:sz w:val="24"/>
          <w:szCs w:val="24"/>
          <w:lang w:val="en-GB"/>
        </w:rPr>
        <w:t xml:space="preserve">If the eligible, incurred costs are lower than indicated in the grant agreement, the Commission will adjust the amount of the final payment accordingly by </w:t>
      </w:r>
      <w:r w:rsidRPr="006F6BAA">
        <w:rPr>
          <w:sz w:val="24"/>
          <w:szCs w:val="24"/>
          <w:lang w:val="en-US"/>
        </w:rPr>
        <w:t xml:space="preserve">applying the co-financing rate indicated in the grant agreement. If this leads to an amount lower than the first payment of 50%, the Commission will issue a recovery order in respect of that part of the budget that is paid out but has not been used or evidenced. If the incurred costs are higher than indicated in the grant agreement, </w:t>
      </w:r>
      <w:r w:rsidRPr="006F6BAA">
        <w:rPr>
          <w:sz w:val="24"/>
          <w:szCs w:val="24"/>
          <w:lang w:val="en-GB"/>
        </w:rPr>
        <w:t>the excess will automatically be borne by the grant beneficiary and the co-financing rate will be reduced accordingly. The amount of the grant will never be increased if the incurred costs are higher than indicated in the grant agreement.</w:t>
      </w:r>
      <w:r w:rsidR="002A3777" w:rsidRPr="006F6BAA">
        <w:rPr>
          <w:sz w:val="24"/>
          <w:szCs w:val="24"/>
          <w:lang w:val="en-GB"/>
        </w:rPr>
        <w:t xml:space="preserve"> </w:t>
      </w:r>
    </w:p>
    <w:p w:rsidR="00AE2DC0" w:rsidRPr="006F6BAA" w:rsidRDefault="00AE2DC0" w:rsidP="00AE2DC0">
      <w:pPr>
        <w:pStyle w:val="ListDash"/>
        <w:numPr>
          <w:ilvl w:val="0"/>
          <w:numId w:val="0"/>
        </w:numPr>
        <w:tabs>
          <w:tab w:val="left" w:pos="9072"/>
        </w:tabs>
        <w:ind w:right="0"/>
        <w:rPr>
          <w:sz w:val="24"/>
          <w:szCs w:val="24"/>
          <w:lang w:val="en-GB"/>
        </w:rPr>
      </w:pPr>
      <w:r w:rsidRPr="006F6BAA">
        <w:rPr>
          <w:sz w:val="24"/>
          <w:szCs w:val="24"/>
          <w:lang w:val="en-GB"/>
        </w:rPr>
        <w:t>The grant may not have the purpose or effect of producing a profit for the beneficiary. Where a profit is made, the Commission shall be entitled to recover the percentage of the profit corresponding to the Union contribution to the eligible costs actually incurred by the beneficiary to carry out the action</w:t>
      </w:r>
      <w:r w:rsidRPr="006F6BAA">
        <w:rPr>
          <w:rStyle w:val="FootnoteReference"/>
          <w:sz w:val="24"/>
          <w:szCs w:val="24"/>
        </w:rPr>
        <w:footnoteReference w:id="38"/>
      </w:r>
      <w:r w:rsidRPr="006F6BAA">
        <w:rPr>
          <w:sz w:val="24"/>
          <w:szCs w:val="24"/>
          <w:lang w:val="en-GB"/>
        </w:rPr>
        <w:t>.</w:t>
      </w:r>
      <w:r w:rsidRPr="006F6BAA">
        <w:rPr>
          <w:sz w:val="24"/>
          <w:szCs w:val="24"/>
          <w:lang w:val="en-GB"/>
        </w:rPr>
        <w:tab/>
      </w:r>
    </w:p>
    <w:p w:rsidR="00AE2DC0" w:rsidRPr="006F6BAA" w:rsidRDefault="00AE2DC0" w:rsidP="00AE2DC0">
      <w:pPr>
        <w:tabs>
          <w:tab w:val="left" w:pos="9072"/>
        </w:tabs>
        <w:spacing w:before="60" w:after="60"/>
        <w:jc w:val="both"/>
        <w:rPr>
          <w:sz w:val="24"/>
          <w:szCs w:val="24"/>
        </w:rPr>
      </w:pPr>
      <w:r w:rsidRPr="006F6BAA">
        <w:rPr>
          <w:sz w:val="24"/>
          <w:szCs w:val="24"/>
        </w:rPr>
        <w:t>Within the framework of this agreement, the authorised representative of the applicant organisation must undertake to provide proof of the proper use of the grant and to allow the Commission to verify the use of the grant during the validity of the contract as well as for a period of five years from the date of payment of the balance. This may lead, where appropriate, to recovery decisions by the Commission</w:t>
      </w:r>
      <w:r w:rsidRPr="006F6BAA">
        <w:rPr>
          <w:rStyle w:val="FootnoteReference"/>
          <w:sz w:val="24"/>
          <w:szCs w:val="24"/>
        </w:rPr>
        <w:footnoteReference w:id="39"/>
      </w:r>
      <w:r w:rsidRPr="006F6BAA">
        <w:rPr>
          <w:sz w:val="24"/>
          <w:szCs w:val="24"/>
        </w:rPr>
        <w:t>.</w:t>
      </w:r>
    </w:p>
    <w:bookmarkEnd w:id="335"/>
    <w:p w:rsidR="00304D7D" w:rsidRDefault="00304D7D">
      <w:pPr>
        <w:rPr>
          <w:sz w:val="24"/>
          <w:szCs w:val="24"/>
        </w:rPr>
      </w:pPr>
      <w:r>
        <w:rPr>
          <w:sz w:val="24"/>
          <w:szCs w:val="24"/>
        </w:rPr>
        <w:br w:type="page"/>
      </w:r>
    </w:p>
    <w:p w:rsidR="00BD2C44" w:rsidRPr="006F6BAA" w:rsidRDefault="00D30B62" w:rsidP="00D30B62">
      <w:pPr>
        <w:pStyle w:val="Heading1"/>
        <w:rPr>
          <w:sz w:val="24"/>
          <w:szCs w:val="24"/>
        </w:rPr>
      </w:pPr>
      <w:bookmarkStart w:id="358" w:name="_Toc484788392"/>
      <w:bookmarkStart w:id="359" w:name="_Toc388001476"/>
      <w:bookmarkStart w:id="360" w:name="_Toc388430604"/>
      <w:bookmarkStart w:id="361" w:name="_Toc388431013"/>
      <w:bookmarkStart w:id="362" w:name="_Toc388620827"/>
      <w:bookmarkStart w:id="363" w:name="_Toc388862588"/>
      <w:bookmarkStart w:id="364" w:name="_Toc388867223"/>
      <w:bookmarkStart w:id="365" w:name="_Toc388867358"/>
      <w:bookmarkStart w:id="366" w:name="_Toc388869055"/>
      <w:bookmarkStart w:id="367" w:name="_Toc423016006"/>
      <w:bookmarkStart w:id="368" w:name="_Toc423016125"/>
      <w:bookmarkStart w:id="369" w:name="_Toc446498639"/>
      <w:bookmarkStart w:id="370" w:name="_Toc481491556"/>
      <w:r w:rsidRPr="006F6BAA">
        <w:rPr>
          <w:sz w:val="24"/>
          <w:szCs w:val="24"/>
        </w:rPr>
        <w:lastRenderedPageBreak/>
        <w:t>10.</w:t>
      </w:r>
      <w:r w:rsidRPr="006F6BAA">
        <w:rPr>
          <w:sz w:val="24"/>
          <w:szCs w:val="24"/>
        </w:rPr>
        <w:tab/>
      </w:r>
      <w:r w:rsidR="00BD2C44" w:rsidRPr="006F6BAA">
        <w:rPr>
          <w:sz w:val="24"/>
          <w:szCs w:val="24"/>
        </w:rPr>
        <w:t>Publicity</w:t>
      </w:r>
      <w:bookmarkEnd w:id="358"/>
      <w:r w:rsidR="00BD2C44" w:rsidRPr="006F6BAA">
        <w:rPr>
          <w:sz w:val="24"/>
          <w:szCs w:val="24"/>
        </w:rPr>
        <w:t xml:space="preserve"> </w:t>
      </w:r>
      <w:bookmarkEnd w:id="359"/>
      <w:bookmarkEnd w:id="360"/>
      <w:bookmarkEnd w:id="361"/>
      <w:bookmarkEnd w:id="362"/>
      <w:bookmarkEnd w:id="363"/>
      <w:bookmarkEnd w:id="364"/>
      <w:bookmarkEnd w:id="365"/>
      <w:bookmarkEnd w:id="366"/>
      <w:bookmarkEnd w:id="367"/>
      <w:bookmarkEnd w:id="368"/>
      <w:bookmarkEnd w:id="369"/>
      <w:bookmarkEnd w:id="370"/>
    </w:p>
    <w:p w:rsidR="00002DFD" w:rsidRPr="006F6BAA" w:rsidRDefault="00BD2C44" w:rsidP="00DA0516">
      <w:pPr>
        <w:pStyle w:val="Heading2"/>
        <w:rPr>
          <w:sz w:val="24"/>
          <w:szCs w:val="24"/>
        </w:rPr>
      </w:pPr>
      <w:bookmarkStart w:id="371" w:name="_Toc484788393"/>
      <w:r w:rsidRPr="006F6BAA">
        <w:rPr>
          <w:sz w:val="24"/>
          <w:szCs w:val="24"/>
        </w:rPr>
        <w:t xml:space="preserve">10.1     </w:t>
      </w:r>
      <w:r w:rsidR="00002DFD" w:rsidRPr="006F6BAA">
        <w:rPr>
          <w:sz w:val="24"/>
          <w:szCs w:val="24"/>
        </w:rPr>
        <w:t>Publicity by the European Commission</w:t>
      </w:r>
      <w:bookmarkEnd w:id="371"/>
    </w:p>
    <w:p w:rsidR="0086190E" w:rsidRPr="006F6BAA" w:rsidRDefault="0086190E" w:rsidP="0086190E">
      <w:pPr>
        <w:jc w:val="both"/>
        <w:rPr>
          <w:sz w:val="24"/>
          <w:szCs w:val="24"/>
        </w:rPr>
      </w:pPr>
      <w:r w:rsidRPr="006F6BAA">
        <w:rPr>
          <w:sz w:val="24"/>
          <w:szCs w:val="24"/>
        </w:rPr>
        <w:t>All grants awarded in the course of a financial year shall be published in the Financial Transparency System (FTS</w:t>
      </w:r>
      <w:r w:rsidR="00471439" w:rsidRPr="006F6BAA">
        <w:rPr>
          <w:sz w:val="24"/>
          <w:szCs w:val="24"/>
          <w:vertAlign w:val="superscript"/>
        </w:rPr>
        <w:footnoteReference w:id="40"/>
      </w:r>
      <w:r w:rsidRPr="006F6BAA">
        <w:rPr>
          <w:sz w:val="24"/>
          <w:szCs w:val="24"/>
        </w:rPr>
        <w:t>) of the European Commission no later than the 30 June of the year following the financial year in</w:t>
      </w:r>
      <w:r w:rsidR="00471439" w:rsidRPr="006F6BAA">
        <w:rPr>
          <w:sz w:val="24"/>
          <w:szCs w:val="24"/>
        </w:rPr>
        <w:t xml:space="preserve"> which the grants were awarded</w:t>
      </w:r>
      <w:r w:rsidR="008126A0" w:rsidRPr="006F6BAA">
        <w:rPr>
          <w:sz w:val="24"/>
          <w:szCs w:val="24"/>
          <w:vertAlign w:val="superscript"/>
        </w:rPr>
        <w:footnoteReference w:id="41"/>
      </w:r>
      <w:r w:rsidR="00471439" w:rsidRPr="006F6BAA">
        <w:rPr>
          <w:sz w:val="24"/>
          <w:szCs w:val="24"/>
        </w:rPr>
        <w:t>.</w:t>
      </w:r>
      <w:r w:rsidRPr="006F6BAA">
        <w:rPr>
          <w:sz w:val="24"/>
          <w:szCs w:val="24"/>
        </w:rPr>
        <w:t xml:space="preserve"> The Commission shall on an on-going basis disseminate, including on relevant websites, the results of the activities supported under the Programme to increase trans</w:t>
      </w:r>
      <w:r w:rsidR="00C24779" w:rsidRPr="006F6BAA">
        <w:rPr>
          <w:sz w:val="24"/>
          <w:szCs w:val="24"/>
        </w:rPr>
        <w:t>parency on the use of the funds</w:t>
      </w:r>
      <w:r w:rsidR="009B0CB4" w:rsidRPr="006F6BAA">
        <w:rPr>
          <w:sz w:val="24"/>
          <w:szCs w:val="24"/>
          <w:vertAlign w:val="superscript"/>
        </w:rPr>
        <w:footnoteReference w:id="42"/>
      </w:r>
      <w:r w:rsidRPr="006F6BAA">
        <w:rPr>
          <w:sz w:val="24"/>
          <w:szCs w:val="24"/>
        </w:rPr>
        <w:t xml:space="preserve">. </w:t>
      </w:r>
    </w:p>
    <w:p w:rsidR="0086190E" w:rsidRPr="006F6BAA" w:rsidRDefault="0086190E" w:rsidP="0086190E">
      <w:pPr>
        <w:jc w:val="both"/>
        <w:rPr>
          <w:sz w:val="24"/>
          <w:szCs w:val="24"/>
        </w:rPr>
      </w:pPr>
    </w:p>
    <w:p w:rsidR="0086190E" w:rsidRPr="006F6BAA" w:rsidRDefault="0086190E" w:rsidP="00304D7D">
      <w:pPr>
        <w:spacing w:after="120"/>
        <w:jc w:val="both"/>
        <w:rPr>
          <w:sz w:val="24"/>
          <w:szCs w:val="24"/>
        </w:rPr>
      </w:pPr>
      <w:r w:rsidRPr="006F6BAA">
        <w:rPr>
          <w:sz w:val="24"/>
          <w:szCs w:val="24"/>
        </w:rPr>
        <w:t>The European Commission will publish the following information:</w:t>
      </w:r>
    </w:p>
    <w:p w:rsidR="0086190E" w:rsidRPr="006F6BAA" w:rsidRDefault="0086190E" w:rsidP="0086190E">
      <w:pPr>
        <w:jc w:val="both"/>
        <w:rPr>
          <w:sz w:val="24"/>
          <w:szCs w:val="24"/>
        </w:rPr>
      </w:pPr>
      <w:r w:rsidRPr="006F6BAA">
        <w:rPr>
          <w:sz w:val="24"/>
          <w:szCs w:val="24"/>
        </w:rPr>
        <w:t>•</w:t>
      </w:r>
      <w:r w:rsidRPr="006F6BAA">
        <w:rPr>
          <w:sz w:val="24"/>
          <w:szCs w:val="24"/>
        </w:rPr>
        <w:tab/>
      </w:r>
      <w:proofErr w:type="gramStart"/>
      <w:r w:rsidRPr="006F6BAA">
        <w:rPr>
          <w:sz w:val="24"/>
          <w:szCs w:val="24"/>
        </w:rPr>
        <w:t>name</w:t>
      </w:r>
      <w:proofErr w:type="gramEnd"/>
      <w:r w:rsidRPr="006F6BAA">
        <w:rPr>
          <w:sz w:val="24"/>
          <w:szCs w:val="24"/>
        </w:rPr>
        <w:t xml:space="preserve"> of the beneficiary;</w:t>
      </w:r>
    </w:p>
    <w:p w:rsidR="0086190E" w:rsidRPr="006F6BAA" w:rsidRDefault="0086190E" w:rsidP="0086190E">
      <w:pPr>
        <w:jc w:val="both"/>
        <w:rPr>
          <w:sz w:val="24"/>
          <w:szCs w:val="24"/>
        </w:rPr>
      </w:pPr>
      <w:r w:rsidRPr="006F6BAA">
        <w:rPr>
          <w:sz w:val="24"/>
          <w:szCs w:val="24"/>
        </w:rPr>
        <w:t>•</w:t>
      </w:r>
      <w:r w:rsidRPr="006F6BAA">
        <w:rPr>
          <w:sz w:val="24"/>
          <w:szCs w:val="24"/>
        </w:rPr>
        <w:tab/>
      </w:r>
      <w:proofErr w:type="gramStart"/>
      <w:r w:rsidRPr="006F6BAA">
        <w:rPr>
          <w:sz w:val="24"/>
          <w:szCs w:val="24"/>
        </w:rPr>
        <w:t>address</w:t>
      </w:r>
      <w:proofErr w:type="gramEnd"/>
      <w:r w:rsidRPr="006F6BAA">
        <w:rPr>
          <w:sz w:val="24"/>
          <w:szCs w:val="24"/>
        </w:rPr>
        <w:t xml:space="preserve"> of the beneficiary when the latter is a legal person;</w:t>
      </w:r>
    </w:p>
    <w:p w:rsidR="0086190E" w:rsidRPr="006F6BAA" w:rsidRDefault="0086190E" w:rsidP="0086190E">
      <w:pPr>
        <w:jc w:val="both"/>
        <w:rPr>
          <w:sz w:val="24"/>
          <w:szCs w:val="24"/>
        </w:rPr>
      </w:pPr>
      <w:r w:rsidRPr="006F6BAA">
        <w:rPr>
          <w:sz w:val="24"/>
          <w:szCs w:val="24"/>
        </w:rPr>
        <w:t>•</w:t>
      </w:r>
      <w:r w:rsidRPr="006F6BAA">
        <w:rPr>
          <w:sz w:val="24"/>
          <w:szCs w:val="24"/>
        </w:rPr>
        <w:tab/>
      </w:r>
      <w:proofErr w:type="gramStart"/>
      <w:r w:rsidRPr="006F6BAA">
        <w:rPr>
          <w:sz w:val="24"/>
          <w:szCs w:val="24"/>
        </w:rPr>
        <w:t>subject</w:t>
      </w:r>
      <w:proofErr w:type="gramEnd"/>
      <w:r w:rsidRPr="006F6BAA">
        <w:rPr>
          <w:sz w:val="24"/>
          <w:szCs w:val="24"/>
        </w:rPr>
        <w:t xml:space="preserve"> of the grant;</w:t>
      </w:r>
    </w:p>
    <w:p w:rsidR="0086190E" w:rsidRPr="006F6BAA" w:rsidRDefault="0086190E" w:rsidP="00304D7D">
      <w:pPr>
        <w:spacing w:after="120"/>
        <w:jc w:val="both"/>
        <w:rPr>
          <w:sz w:val="24"/>
          <w:szCs w:val="24"/>
        </w:rPr>
      </w:pPr>
      <w:r w:rsidRPr="006F6BAA">
        <w:rPr>
          <w:sz w:val="24"/>
          <w:szCs w:val="24"/>
        </w:rPr>
        <w:t>•</w:t>
      </w:r>
      <w:r w:rsidRPr="006F6BAA">
        <w:rPr>
          <w:sz w:val="24"/>
          <w:szCs w:val="24"/>
        </w:rPr>
        <w:tab/>
      </w:r>
      <w:proofErr w:type="gramStart"/>
      <w:r w:rsidRPr="006F6BAA">
        <w:rPr>
          <w:sz w:val="24"/>
          <w:szCs w:val="24"/>
        </w:rPr>
        <w:t>amount</w:t>
      </w:r>
      <w:proofErr w:type="gramEnd"/>
      <w:r w:rsidRPr="006F6BAA">
        <w:rPr>
          <w:sz w:val="24"/>
          <w:szCs w:val="24"/>
        </w:rPr>
        <w:t xml:space="preserve"> awarded.</w:t>
      </w:r>
    </w:p>
    <w:p w:rsidR="00002DFD" w:rsidRPr="006F6BAA" w:rsidRDefault="0086190E" w:rsidP="0086190E">
      <w:pPr>
        <w:jc w:val="both"/>
        <w:rPr>
          <w:sz w:val="24"/>
          <w:szCs w:val="24"/>
        </w:rPr>
      </w:pPr>
      <w:r w:rsidRPr="006F6BAA">
        <w:rPr>
          <w:sz w:val="24"/>
          <w:szCs w:val="24"/>
        </w:rPr>
        <w:t>Upon a reasoned and duly substantiated request by the beneficiary, the publication shall be waived if such disclosure risks threatening the rights and freedoms of individuals concerned as protected by the Charter of Fundamental Rights of the European Union or harm the commercial interests of the beneficiaries. The publication may also be waived if the disclosure of this information endangers operations or investigations undertaken by the beneficiary of the grant.</w:t>
      </w:r>
    </w:p>
    <w:p w:rsidR="0086190E" w:rsidRPr="006F6BAA" w:rsidRDefault="00EC2DF0" w:rsidP="00DA0516">
      <w:pPr>
        <w:pStyle w:val="Heading2"/>
        <w:rPr>
          <w:sz w:val="24"/>
          <w:szCs w:val="24"/>
        </w:rPr>
      </w:pPr>
      <w:bookmarkStart w:id="372" w:name="_Toc484788394"/>
      <w:r w:rsidRPr="006F6BAA">
        <w:rPr>
          <w:sz w:val="24"/>
          <w:szCs w:val="24"/>
        </w:rPr>
        <w:t xml:space="preserve">10.2      </w:t>
      </w:r>
      <w:r w:rsidR="0086190E" w:rsidRPr="006F6BAA">
        <w:rPr>
          <w:sz w:val="24"/>
          <w:szCs w:val="24"/>
        </w:rPr>
        <w:t>Publicity by the beneficiary of a grant</w:t>
      </w:r>
      <w:bookmarkEnd w:id="372"/>
    </w:p>
    <w:p w:rsidR="0086190E" w:rsidRPr="006F6BAA" w:rsidRDefault="0086190E" w:rsidP="00304D7D">
      <w:pPr>
        <w:jc w:val="both"/>
        <w:rPr>
          <w:sz w:val="24"/>
          <w:szCs w:val="24"/>
        </w:rPr>
      </w:pPr>
      <w:r w:rsidRPr="006F6BAA">
        <w:rPr>
          <w:b/>
          <w:sz w:val="24"/>
          <w:szCs w:val="24"/>
        </w:rPr>
        <w:t>Under the terms of the publication and communication strategy, beneficiaries must</w:t>
      </w:r>
      <w:r w:rsidRPr="006F6BAA">
        <w:rPr>
          <w:sz w:val="24"/>
          <w:szCs w:val="24"/>
        </w:rPr>
        <w:t>:</w:t>
      </w:r>
    </w:p>
    <w:p w:rsidR="0086190E" w:rsidRPr="006F6BAA" w:rsidRDefault="0086190E" w:rsidP="001E1E33">
      <w:pPr>
        <w:numPr>
          <w:ilvl w:val="0"/>
          <w:numId w:val="3"/>
        </w:numPr>
        <w:tabs>
          <w:tab w:val="left" w:pos="360"/>
        </w:tabs>
        <w:jc w:val="both"/>
        <w:rPr>
          <w:sz w:val="24"/>
          <w:szCs w:val="24"/>
        </w:rPr>
      </w:pPr>
      <w:r w:rsidRPr="006F6BAA">
        <w:rPr>
          <w:sz w:val="24"/>
          <w:szCs w:val="24"/>
        </w:rPr>
        <w:t>Create a link from the beneficiary's website (or dedicated website) to the Hercule III Programme website</w:t>
      </w:r>
      <w:r w:rsidR="00286CF3" w:rsidRPr="006F6BAA">
        <w:rPr>
          <w:sz w:val="24"/>
          <w:szCs w:val="24"/>
        </w:rPr>
        <w:t>:</w:t>
      </w:r>
      <w:r w:rsidRPr="006F6BAA">
        <w:rPr>
          <w:sz w:val="24"/>
          <w:szCs w:val="24"/>
        </w:rPr>
        <w:t xml:space="preserve"> </w:t>
      </w:r>
    </w:p>
    <w:p w:rsidR="0026708E" w:rsidRPr="006F6BAA" w:rsidRDefault="00D53FEF" w:rsidP="0026708E">
      <w:pPr>
        <w:ind w:left="360"/>
        <w:rPr>
          <w:sz w:val="24"/>
          <w:szCs w:val="24"/>
        </w:rPr>
      </w:pPr>
      <w:hyperlink r:id="rId9" w:history="1">
        <w:r w:rsidR="0026708E" w:rsidRPr="006F6BAA">
          <w:rPr>
            <w:rStyle w:val="Hyperlink"/>
            <w:color w:val="auto"/>
            <w:sz w:val="24"/>
            <w:szCs w:val="24"/>
          </w:rPr>
          <w:t>http://ec.europa.eu/anti-fraud/policy/hercule_en</w:t>
        </w:r>
      </w:hyperlink>
      <w:r w:rsidR="0026708E" w:rsidRPr="006F6BAA">
        <w:rPr>
          <w:sz w:val="24"/>
          <w:szCs w:val="24"/>
        </w:rPr>
        <w:t xml:space="preserve"> </w:t>
      </w:r>
    </w:p>
    <w:p w:rsidR="0086190E" w:rsidRPr="006F6BAA" w:rsidRDefault="0086190E" w:rsidP="001E1E33">
      <w:pPr>
        <w:numPr>
          <w:ilvl w:val="0"/>
          <w:numId w:val="3"/>
        </w:numPr>
        <w:tabs>
          <w:tab w:val="left" w:pos="360"/>
        </w:tabs>
        <w:rPr>
          <w:sz w:val="24"/>
          <w:szCs w:val="24"/>
        </w:rPr>
      </w:pPr>
      <w:r w:rsidRPr="006F6BAA">
        <w:rPr>
          <w:sz w:val="24"/>
          <w:szCs w:val="24"/>
        </w:rPr>
        <w:t xml:space="preserve">Insert the </w:t>
      </w:r>
      <w:r w:rsidR="00176B39" w:rsidRPr="006F6BAA">
        <w:rPr>
          <w:sz w:val="24"/>
          <w:szCs w:val="24"/>
        </w:rPr>
        <w:t>Commission</w:t>
      </w:r>
      <w:r w:rsidR="00FA1D1E" w:rsidRPr="006F6BAA">
        <w:rPr>
          <w:sz w:val="24"/>
          <w:szCs w:val="24"/>
        </w:rPr>
        <w:t>/</w:t>
      </w:r>
      <w:r w:rsidRPr="006F6BAA">
        <w:rPr>
          <w:sz w:val="24"/>
          <w:szCs w:val="24"/>
        </w:rPr>
        <w:t>OLAF logo</w:t>
      </w:r>
      <w:r w:rsidR="0067458B" w:rsidRPr="006F6BAA">
        <w:rPr>
          <w:sz w:val="24"/>
          <w:szCs w:val="24"/>
        </w:rPr>
        <w:t xml:space="preserve"> on all materials produced in relation to the action</w:t>
      </w:r>
    </w:p>
    <w:p w:rsidR="0086190E" w:rsidRPr="006F6BAA" w:rsidRDefault="0086190E" w:rsidP="001E1E33">
      <w:pPr>
        <w:numPr>
          <w:ilvl w:val="0"/>
          <w:numId w:val="3"/>
        </w:numPr>
        <w:tabs>
          <w:tab w:val="left" w:pos="360"/>
        </w:tabs>
        <w:rPr>
          <w:sz w:val="24"/>
          <w:szCs w:val="24"/>
        </w:rPr>
      </w:pPr>
      <w:r w:rsidRPr="006F6BAA">
        <w:rPr>
          <w:sz w:val="24"/>
          <w:szCs w:val="24"/>
        </w:rPr>
        <w:t>Mention the support from the Hercule III Programme:</w:t>
      </w:r>
    </w:p>
    <w:p w:rsidR="0086190E" w:rsidRPr="006F6BAA" w:rsidRDefault="0086190E" w:rsidP="00DA7CA1">
      <w:pPr>
        <w:numPr>
          <w:ilvl w:val="1"/>
          <w:numId w:val="7"/>
        </w:numPr>
        <w:tabs>
          <w:tab w:val="clear" w:pos="1440"/>
          <w:tab w:val="left" w:pos="0"/>
          <w:tab w:val="left" w:pos="1134"/>
        </w:tabs>
        <w:autoSpaceDE w:val="0"/>
        <w:autoSpaceDN w:val="0"/>
        <w:adjustRightInd w:val="0"/>
        <w:ind w:left="1134" w:hanging="567"/>
        <w:jc w:val="both"/>
        <w:rPr>
          <w:sz w:val="24"/>
          <w:szCs w:val="24"/>
        </w:rPr>
      </w:pPr>
      <w:r w:rsidRPr="006F6BAA">
        <w:rPr>
          <w:sz w:val="24"/>
          <w:szCs w:val="24"/>
        </w:rPr>
        <w:t>In every publication (on the title page) or similar material (e.g. booklets, newsletters, leaflets) whether these are produced in hard copy or published electronically;</w:t>
      </w:r>
    </w:p>
    <w:p w:rsidR="0086190E" w:rsidRPr="006F6BAA" w:rsidRDefault="0086190E" w:rsidP="00DA7CA1">
      <w:pPr>
        <w:numPr>
          <w:ilvl w:val="1"/>
          <w:numId w:val="7"/>
        </w:numPr>
        <w:tabs>
          <w:tab w:val="clear" w:pos="1440"/>
          <w:tab w:val="left" w:pos="0"/>
          <w:tab w:val="left" w:pos="1134"/>
        </w:tabs>
        <w:autoSpaceDE w:val="0"/>
        <w:autoSpaceDN w:val="0"/>
        <w:adjustRightInd w:val="0"/>
        <w:ind w:left="1134" w:hanging="567"/>
        <w:jc w:val="both"/>
        <w:rPr>
          <w:sz w:val="24"/>
          <w:szCs w:val="24"/>
        </w:rPr>
      </w:pPr>
      <w:r w:rsidRPr="006F6BAA">
        <w:rPr>
          <w:sz w:val="24"/>
          <w:szCs w:val="24"/>
        </w:rPr>
        <w:t>In electronic information (e.g. websites, audio-visual material, videos, software);</w:t>
      </w:r>
    </w:p>
    <w:p w:rsidR="0086190E" w:rsidRPr="006F6BAA" w:rsidRDefault="0086190E" w:rsidP="00DA7CA1">
      <w:pPr>
        <w:numPr>
          <w:ilvl w:val="1"/>
          <w:numId w:val="7"/>
        </w:numPr>
        <w:tabs>
          <w:tab w:val="clear" w:pos="1440"/>
          <w:tab w:val="left" w:pos="0"/>
          <w:tab w:val="left" w:pos="1134"/>
        </w:tabs>
        <w:autoSpaceDE w:val="0"/>
        <w:autoSpaceDN w:val="0"/>
        <w:adjustRightInd w:val="0"/>
        <w:ind w:left="1134" w:hanging="567"/>
        <w:jc w:val="both"/>
        <w:rPr>
          <w:sz w:val="24"/>
          <w:szCs w:val="24"/>
        </w:rPr>
      </w:pPr>
      <w:r w:rsidRPr="006F6BAA">
        <w:rPr>
          <w:sz w:val="24"/>
          <w:szCs w:val="24"/>
        </w:rPr>
        <w:t>At information events (conferences, seminars), as follows:</w:t>
      </w:r>
    </w:p>
    <w:p w:rsidR="006A2B2F" w:rsidRPr="006F6BAA" w:rsidRDefault="00715027" w:rsidP="00DF1B28">
      <w:pPr>
        <w:pStyle w:val="NormalWeb"/>
        <w:pBdr>
          <w:top w:val="single" w:sz="4" w:space="1" w:color="auto"/>
          <w:left w:val="single" w:sz="4" w:space="4" w:color="auto"/>
          <w:bottom w:val="single" w:sz="4" w:space="1" w:color="auto"/>
          <w:right w:val="single" w:sz="4" w:space="4" w:color="auto"/>
        </w:pBdr>
        <w:jc w:val="both"/>
        <w:rPr>
          <w:sz w:val="24"/>
          <w:szCs w:val="24"/>
        </w:rPr>
      </w:pPr>
      <w:r w:rsidRPr="006F6BAA">
        <w:rPr>
          <w:i/>
          <w:sz w:val="24"/>
          <w:szCs w:val="24"/>
        </w:rPr>
        <w:t>"</w:t>
      </w:r>
      <w:r w:rsidR="0086190E" w:rsidRPr="006F6BAA">
        <w:rPr>
          <w:i/>
          <w:sz w:val="24"/>
          <w:szCs w:val="24"/>
        </w:rPr>
        <w:t xml:space="preserve">This </w:t>
      </w:r>
      <w:r w:rsidR="0086190E" w:rsidRPr="006F6BAA">
        <w:rPr>
          <w:rStyle w:val="Emphasis"/>
          <w:sz w:val="24"/>
          <w:szCs w:val="24"/>
        </w:rPr>
        <w:t xml:space="preserve">(event, publication, conference, training session etc.) is supported by the European Union Programme Hercule III (2014-2020). This programme is implemented by the European Commission and it was established to promote activities in the field of the protection of the financial interests of the European Union. </w:t>
      </w:r>
      <w:r w:rsidR="0086190E" w:rsidRPr="006F6BAA">
        <w:rPr>
          <w:sz w:val="24"/>
          <w:szCs w:val="24"/>
        </w:rPr>
        <w:t>(</w:t>
      </w:r>
      <w:proofErr w:type="gramStart"/>
      <w:r w:rsidR="0086190E" w:rsidRPr="006F6BAA">
        <w:rPr>
          <w:i/>
          <w:sz w:val="24"/>
          <w:szCs w:val="24"/>
        </w:rPr>
        <w:t>for</w:t>
      </w:r>
      <w:proofErr w:type="gramEnd"/>
      <w:r w:rsidR="0086190E" w:rsidRPr="006F6BAA">
        <w:rPr>
          <w:i/>
          <w:sz w:val="24"/>
          <w:szCs w:val="24"/>
        </w:rPr>
        <w:t xml:space="preserve"> more information see </w:t>
      </w:r>
      <w:hyperlink r:id="rId10" w:history="1">
        <w:r w:rsidR="0086190E" w:rsidRPr="006F6BAA">
          <w:rPr>
            <w:rStyle w:val="Hyperlink"/>
            <w:i/>
            <w:color w:val="auto"/>
            <w:sz w:val="24"/>
            <w:szCs w:val="24"/>
          </w:rPr>
          <w:t>http://ec.europa.eu/anti_fraud/about-us/funding/index_en.htm</w:t>
        </w:r>
      </w:hyperlink>
      <w:r w:rsidR="0086190E" w:rsidRPr="006F6BAA">
        <w:rPr>
          <w:sz w:val="24"/>
          <w:szCs w:val="24"/>
        </w:rPr>
        <w:t>)</w:t>
      </w:r>
      <w:r w:rsidRPr="006F6BAA">
        <w:rPr>
          <w:sz w:val="24"/>
          <w:szCs w:val="24"/>
        </w:rPr>
        <w:t>"</w:t>
      </w:r>
    </w:p>
    <w:p w:rsidR="0086190E" w:rsidRPr="006F6BAA" w:rsidRDefault="0086190E" w:rsidP="0086190E">
      <w:pPr>
        <w:jc w:val="both"/>
        <w:rPr>
          <w:b/>
          <w:i/>
          <w:iCs/>
          <w:sz w:val="24"/>
          <w:szCs w:val="24"/>
        </w:rPr>
      </w:pPr>
      <w:r w:rsidRPr="006F6BAA">
        <w:rPr>
          <w:sz w:val="24"/>
          <w:szCs w:val="24"/>
        </w:rPr>
        <w:lastRenderedPageBreak/>
        <w:t xml:space="preserve">Any notice or publication by the beneficiary must specify, in whatever form and on/by whatever medium, including the internet, </w:t>
      </w:r>
      <w:r w:rsidR="005510BE" w:rsidRPr="006F6BAA">
        <w:rPr>
          <w:b/>
          <w:i/>
          <w:sz w:val="24"/>
          <w:szCs w:val="24"/>
        </w:rPr>
        <w:t>"</w:t>
      </w:r>
      <w:r w:rsidRPr="006F6BAA">
        <w:rPr>
          <w:b/>
          <w:i/>
          <w:iCs/>
          <w:sz w:val="24"/>
          <w:szCs w:val="24"/>
        </w:rPr>
        <w:t>that it reflects the author's view and that the European Commission is not responsible for the views displayed in the publications and/or in conjunction with the activit</w:t>
      </w:r>
      <w:r w:rsidR="006840EC" w:rsidRPr="006F6BAA">
        <w:rPr>
          <w:b/>
          <w:i/>
          <w:iCs/>
          <w:sz w:val="24"/>
          <w:szCs w:val="24"/>
        </w:rPr>
        <w:t>ies for which the grant is used</w:t>
      </w:r>
      <w:r w:rsidR="005510BE" w:rsidRPr="006F6BAA">
        <w:rPr>
          <w:b/>
          <w:i/>
          <w:iCs/>
          <w:sz w:val="24"/>
          <w:szCs w:val="24"/>
        </w:rPr>
        <w:t>"</w:t>
      </w:r>
      <w:r w:rsidRPr="006F6BAA">
        <w:rPr>
          <w:b/>
          <w:i/>
          <w:iCs/>
          <w:sz w:val="24"/>
          <w:szCs w:val="24"/>
        </w:rPr>
        <w:t>.</w:t>
      </w:r>
    </w:p>
    <w:p w:rsidR="0086190E" w:rsidRPr="006F6BAA" w:rsidRDefault="0086190E" w:rsidP="0086190E">
      <w:pPr>
        <w:jc w:val="both"/>
        <w:rPr>
          <w:i/>
          <w:iCs/>
          <w:sz w:val="24"/>
          <w:szCs w:val="24"/>
        </w:rPr>
      </w:pPr>
    </w:p>
    <w:p w:rsidR="0086190E" w:rsidRPr="006F6BAA" w:rsidRDefault="0086190E" w:rsidP="0086190E">
      <w:pPr>
        <w:jc w:val="both"/>
        <w:rPr>
          <w:sz w:val="24"/>
          <w:szCs w:val="24"/>
        </w:rPr>
      </w:pPr>
      <w:r w:rsidRPr="006F6BAA">
        <w:rPr>
          <w:sz w:val="24"/>
          <w:szCs w:val="24"/>
        </w:rPr>
        <w:t xml:space="preserve">For publications, the following reference must also be included: </w:t>
      </w:r>
      <w:r w:rsidR="005510BE" w:rsidRPr="006F6BAA">
        <w:rPr>
          <w:b/>
          <w:i/>
          <w:sz w:val="24"/>
          <w:szCs w:val="24"/>
        </w:rPr>
        <w:t>"</w:t>
      </w:r>
      <w:r w:rsidRPr="006F6BAA">
        <w:rPr>
          <w:b/>
          <w:i/>
          <w:iCs/>
          <w:sz w:val="24"/>
          <w:szCs w:val="24"/>
        </w:rPr>
        <w:t>The information contained in this publication does not necessarily reflect the position or opinion of the European Commission</w:t>
      </w:r>
      <w:r w:rsidR="005510BE" w:rsidRPr="006F6BAA">
        <w:rPr>
          <w:b/>
          <w:i/>
          <w:sz w:val="24"/>
          <w:szCs w:val="24"/>
        </w:rPr>
        <w:t>"</w:t>
      </w:r>
      <w:r w:rsidRPr="006F6BAA">
        <w:rPr>
          <w:sz w:val="24"/>
          <w:szCs w:val="24"/>
        </w:rPr>
        <w:t>.</w:t>
      </w:r>
    </w:p>
    <w:p w:rsidR="0086190E" w:rsidRPr="006F6BAA" w:rsidRDefault="0086190E" w:rsidP="0086190E">
      <w:pPr>
        <w:rPr>
          <w:sz w:val="24"/>
          <w:szCs w:val="24"/>
        </w:rPr>
      </w:pPr>
    </w:p>
    <w:p w:rsidR="00B5536C" w:rsidRPr="006F6BAA" w:rsidRDefault="00B5536C" w:rsidP="00AA0878">
      <w:pPr>
        <w:jc w:val="both"/>
        <w:rPr>
          <w:sz w:val="24"/>
          <w:szCs w:val="24"/>
        </w:rPr>
      </w:pPr>
      <w:r w:rsidRPr="006F6BAA">
        <w:rPr>
          <w:sz w:val="24"/>
          <w:szCs w:val="24"/>
        </w:rPr>
        <w:t xml:space="preserve">In the case of studies </w:t>
      </w:r>
      <w:r w:rsidR="00343AB2" w:rsidRPr="006F6BAA">
        <w:rPr>
          <w:sz w:val="24"/>
          <w:szCs w:val="24"/>
        </w:rPr>
        <w:t>and other types of publications</w:t>
      </w:r>
      <w:r w:rsidR="001F0D70" w:rsidRPr="006F6BAA">
        <w:rPr>
          <w:sz w:val="24"/>
          <w:szCs w:val="24"/>
        </w:rPr>
        <w:t>, the beneficiaries may</w:t>
      </w:r>
      <w:r w:rsidRPr="006F6BAA">
        <w:rPr>
          <w:sz w:val="24"/>
          <w:szCs w:val="24"/>
        </w:rPr>
        <w:t xml:space="preserve"> be requested to provide the Co</w:t>
      </w:r>
      <w:r w:rsidR="001F0D70" w:rsidRPr="006F6BAA">
        <w:rPr>
          <w:sz w:val="24"/>
          <w:szCs w:val="24"/>
        </w:rPr>
        <w:t>mmission with sufficient paper</w:t>
      </w:r>
      <w:r w:rsidRPr="006F6BAA">
        <w:rPr>
          <w:sz w:val="24"/>
          <w:szCs w:val="24"/>
        </w:rPr>
        <w:t xml:space="preserve"> copies (if published on paper) and with an electronic version</w:t>
      </w:r>
      <w:r w:rsidR="001F0D70" w:rsidRPr="006F6BAA">
        <w:rPr>
          <w:sz w:val="24"/>
          <w:szCs w:val="24"/>
        </w:rPr>
        <w:t xml:space="preserve"> that the Commission may publish, under the conditions to be laid down in the grant agreement</w:t>
      </w:r>
      <w:r w:rsidRPr="006F6BAA">
        <w:rPr>
          <w:sz w:val="24"/>
          <w:szCs w:val="24"/>
        </w:rPr>
        <w:t>.</w:t>
      </w:r>
    </w:p>
    <w:p w:rsidR="00735B35" w:rsidRPr="006F6BAA" w:rsidRDefault="00735B35" w:rsidP="00AA0878">
      <w:pPr>
        <w:tabs>
          <w:tab w:val="left" w:pos="360"/>
        </w:tabs>
        <w:jc w:val="both"/>
        <w:rPr>
          <w:sz w:val="24"/>
          <w:szCs w:val="24"/>
        </w:rPr>
      </w:pPr>
    </w:p>
    <w:p w:rsidR="00DB3228" w:rsidRPr="006F6BAA" w:rsidRDefault="005E4FFE" w:rsidP="00AA0878">
      <w:pPr>
        <w:pStyle w:val="Heading1"/>
        <w:rPr>
          <w:sz w:val="24"/>
          <w:szCs w:val="24"/>
        </w:rPr>
      </w:pPr>
      <w:bookmarkStart w:id="373" w:name="_Toc423016007"/>
      <w:bookmarkStart w:id="374" w:name="_Toc423016126"/>
      <w:bookmarkStart w:id="375" w:name="_Toc446498640"/>
      <w:bookmarkStart w:id="376" w:name="_Toc481491557"/>
      <w:bookmarkStart w:id="377" w:name="_Toc484788395"/>
      <w:r w:rsidRPr="006F6BAA">
        <w:rPr>
          <w:sz w:val="24"/>
          <w:szCs w:val="24"/>
        </w:rPr>
        <w:t>11.</w:t>
      </w:r>
      <w:r w:rsidRPr="006F6BAA">
        <w:rPr>
          <w:sz w:val="24"/>
          <w:szCs w:val="24"/>
        </w:rPr>
        <w:tab/>
      </w:r>
      <w:r w:rsidR="00DB3228" w:rsidRPr="006F6BAA">
        <w:rPr>
          <w:sz w:val="24"/>
          <w:szCs w:val="24"/>
        </w:rPr>
        <w:t>Questions</w:t>
      </w:r>
      <w:bookmarkEnd w:id="373"/>
      <w:bookmarkEnd w:id="374"/>
      <w:bookmarkEnd w:id="375"/>
      <w:bookmarkEnd w:id="376"/>
      <w:bookmarkEnd w:id="377"/>
    </w:p>
    <w:p w:rsidR="00A46940" w:rsidRPr="006F6BAA" w:rsidRDefault="00A46940" w:rsidP="00A46940">
      <w:pPr>
        <w:rPr>
          <w:sz w:val="24"/>
          <w:szCs w:val="24"/>
        </w:rPr>
      </w:pPr>
    </w:p>
    <w:p w:rsidR="00134DD9" w:rsidRDefault="00134DD9" w:rsidP="00134DD9">
      <w:pPr>
        <w:jc w:val="both"/>
        <w:rPr>
          <w:sz w:val="24"/>
          <w:szCs w:val="24"/>
        </w:rPr>
      </w:pPr>
      <w:r w:rsidRPr="00173560">
        <w:rPr>
          <w:sz w:val="24"/>
          <w:szCs w:val="24"/>
        </w:rPr>
        <w:t>Questions and/or requests for additional</w:t>
      </w:r>
      <w:r>
        <w:rPr>
          <w:sz w:val="24"/>
          <w:szCs w:val="24"/>
        </w:rPr>
        <w:t xml:space="preserve"> information in relation to the submission of an application; the eligibility of an organisation; the planning of an action or the type of actions that are eligible for funding have to </w:t>
      </w:r>
      <w:r w:rsidRPr="00173560">
        <w:rPr>
          <w:sz w:val="24"/>
          <w:szCs w:val="24"/>
        </w:rPr>
        <w:t xml:space="preserve">be </w:t>
      </w:r>
      <w:r>
        <w:rPr>
          <w:sz w:val="24"/>
          <w:szCs w:val="24"/>
        </w:rPr>
        <w:t>transmitted by e-mail to the Participant Portal until Wednesday, 2 August</w:t>
      </w:r>
      <w:r w:rsidRPr="00173560">
        <w:rPr>
          <w:sz w:val="24"/>
          <w:szCs w:val="24"/>
        </w:rPr>
        <w:t> 2017. The questions and answers may be anonymously published in the "Guidelines for filling in the Application</w:t>
      </w:r>
      <w:r>
        <w:rPr>
          <w:sz w:val="24"/>
          <w:szCs w:val="24"/>
        </w:rPr>
        <w:t>" i</w:t>
      </w:r>
      <w:r w:rsidRPr="00173560">
        <w:rPr>
          <w:sz w:val="24"/>
          <w:szCs w:val="24"/>
        </w:rPr>
        <w:t xml:space="preserve">n the </w:t>
      </w:r>
      <w:r>
        <w:rPr>
          <w:sz w:val="24"/>
          <w:szCs w:val="24"/>
        </w:rPr>
        <w:t>Participant Portal</w:t>
      </w:r>
      <w:r w:rsidRPr="00173560">
        <w:rPr>
          <w:sz w:val="24"/>
          <w:szCs w:val="24"/>
        </w:rPr>
        <w:t xml:space="preserve"> if they are relevant to other applicants. The Commission cannot guarantee </w:t>
      </w:r>
      <w:r>
        <w:rPr>
          <w:sz w:val="24"/>
          <w:szCs w:val="24"/>
        </w:rPr>
        <w:t>that questions asked after Wednesday, 2 August</w:t>
      </w:r>
      <w:r w:rsidRPr="00173560">
        <w:rPr>
          <w:sz w:val="24"/>
          <w:szCs w:val="24"/>
        </w:rPr>
        <w:t xml:space="preserve"> 2017 will be answered before the deadline of </w:t>
      </w:r>
      <w:r>
        <w:rPr>
          <w:sz w:val="24"/>
          <w:szCs w:val="24"/>
        </w:rPr>
        <w:t>Wednesday, 9 August 2017</w:t>
      </w:r>
      <w:r w:rsidRPr="00173560">
        <w:rPr>
          <w:rStyle w:val="FootnoteReference"/>
          <w:sz w:val="24"/>
          <w:szCs w:val="24"/>
        </w:rPr>
        <w:footnoteReference w:id="43"/>
      </w:r>
      <w:r w:rsidRPr="00173560">
        <w:rPr>
          <w:sz w:val="24"/>
          <w:szCs w:val="24"/>
        </w:rPr>
        <w:t xml:space="preserve">. </w:t>
      </w:r>
    </w:p>
    <w:p w:rsidR="00134DD9" w:rsidRPr="00173560" w:rsidRDefault="00134DD9" w:rsidP="00134DD9">
      <w:pPr>
        <w:jc w:val="both"/>
        <w:rPr>
          <w:sz w:val="24"/>
          <w:szCs w:val="24"/>
        </w:rPr>
      </w:pPr>
    </w:p>
    <w:p w:rsidR="00134DD9" w:rsidRPr="00173560" w:rsidRDefault="00134DD9" w:rsidP="00134DD9">
      <w:pPr>
        <w:jc w:val="both"/>
        <w:rPr>
          <w:sz w:val="24"/>
          <w:szCs w:val="24"/>
        </w:rPr>
      </w:pPr>
      <w:r w:rsidRPr="00173560">
        <w:rPr>
          <w:sz w:val="24"/>
          <w:szCs w:val="24"/>
        </w:rPr>
        <w:t xml:space="preserve">Any requests for additional information must be made in writing only to the e-mail address mentioned above (in view of the large number of enquiries, please do not telephone). </w:t>
      </w:r>
    </w:p>
    <w:p w:rsidR="00134DD9" w:rsidRPr="00173560" w:rsidRDefault="00134DD9" w:rsidP="00134DD9">
      <w:pPr>
        <w:jc w:val="both"/>
        <w:rPr>
          <w:sz w:val="24"/>
          <w:szCs w:val="24"/>
        </w:rPr>
      </w:pPr>
    </w:p>
    <w:p w:rsidR="00134DD9" w:rsidRPr="009B0D26" w:rsidRDefault="00134DD9" w:rsidP="00232EF0">
      <w:pPr>
        <w:jc w:val="center"/>
        <w:rPr>
          <w:b/>
          <w:sz w:val="24"/>
          <w:szCs w:val="24"/>
        </w:rPr>
      </w:pPr>
      <w:r w:rsidRPr="009B0D26">
        <w:rPr>
          <w:b/>
          <w:sz w:val="24"/>
          <w:szCs w:val="24"/>
        </w:rPr>
        <w:t>In the interest of equal treatment of applicants, the European Commission cannot issue a prior opinion on the eligibility of an applicant, an action or specific activities.</w:t>
      </w:r>
    </w:p>
    <w:p w:rsidR="00134DD9" w:rsidRDefault="00134DD9" w:rsidP="00735B35">
      <w:pPr>
        <w:tabs>
          <w:tab w:val="left" w:pos="360"/>
        </w:tabs>
        <w:jc w:val="both"/>
        <w:rPr>
          <w:sz w:val="24"/>
          <w:szCs w:val="24"/>
        </w:rPr>
      </w:pPr>
    </w:p>
    <w:p w:rsidR="00AA0878" w:rsidRPr="006F6BAA" w:rsidRDefault="00AA0878" w:rsidP="00AA0878">
      <w:pPr>
        <w:tabs>
          <w:tab w:val="left" w:pos="360"/>
        </w:tabs>
        <w:jc w:val="both"/>
        <w:rPr>
          <w:b/>
          <w:sz w:val="24"/>
          <w:szCs w:val="24"/>
        </w:rPr>
      </w:pPr>
    </w:p>
    <w:p w:rsidR="00CD5F28" w:rsidRPr="006F6BAA" w:rsidRDefault="005E4FFE" w:rsidP="00B935AF">
      <w:pPr>
        <w:pStyle w:val="Heading1"/>
        <w:rPr>
          <w:sz w:val="24"/>
          <w:szCs w:val="24"/>
        </w:rPr>
      </w:pPr>
      <w:bookmarkStart w:id="378" w:name="_Toc373501217"/>
      <w:bookmarkStart w:id="379" w:name="_Toc388256019"/>
      <w:bookmarkStart w:id="380" w:name="_Toc388430608"/>
      <w:bookmarkStart w:id="381" w:name="_Toc388431017"/>
      <w:bookmarkStart w:id="382" w:name="_Toc388620831"/>
      <w:bookmarkStart w:id="383" w:name="_Toc388862592"/>
      <w:bookmarkStart w:id="384" w:name="_Toc388867227"/>
      <w:bookmarkStart w:id="385" w:name="_Toc388867362"/>
      <w:bookmarkStart w:id="386" w:name="_Toc388869059"/>
      <w:bookmarkStart w:id="387" w:name="_Toc423016008"/>
      <w:bookmarkStart w:id="388" w:name="_Toc423016127"/>
      <w:bookmarkStart w:id="389" w:name="_Toc446498641"/>
      <w:bookmarkStart w:id="390" w:name="_Toc481491558"/>
      <w:bookmarkStart w:id="391" w:name="_Toc484788396"/>
      <w:r w:rsidRPr="006F6BAA">
        <w:rPr>
          <w:sz w:val="24"/>
          <w:szCs w:val="24"/>
        </w:rPr>
        <w:t>12</w:t>
      </w:r>
      <w:r w:rsidR="00B935AF" w:rsidRPr="006F6BAA">
        <w:rPr>
          <w:sz w:val="24"/>
          <w:szCs w:val="24"/>
        </w:rPr>
        <w:t>.</w:t>
      </w:r>
      <w:r w:rsidR="00B935AF" w:rsidRPr="006F6BAA">
        <w:rPr>
          <w:sz w:val="24"/>
          <w:szCs w:val="24"/>
        </w:rPr>
        <w:tab/>
      </w:r>
      <w:r w:rsidR="00CD5F28" w:rsidRPr="006F6BAA">
        <w:rPr>
          <w:sz w:val="24"/>
          <w:szCs w:val="24"/>
        </w:rPr>
        <w:t>D</w:t>
      </w:r>
      <w:bookmarkEnd w:id="378"/>
      <w:bookmarkEnd w:id="379"/>
      <w:bookmarkEnd w:id="380"/>
      <w:bookmarkEnd w:id="381"/>
      <w:bookmarkEnd w:id="382"/>
      <w:bookmarkEnd w:id="383"/>
      <w:bookmarkEnd w:id="384"/>
      <w:bookmarkEnd w:id="385"/>
      <w:bookmarkEnd w:id="386"/>
      <w:r w:rsidR="00CD5F28" w:rsidRPr="006F6BAA">
        <w:rPr>
          <w:sz w:val="24"/>
          <w:szCs w:val="24"/>
        </w:rPr>
        <w:t>ata protection</w:t>
      </w:r>
      <w:bookmarkEnd w:id="387"/>
      <w:bookmarkEnd w:id="388"/>
      <w:bookmarkEnd w:id="389"/>
      <w:bookmarkEnd w:id="390"/>
      <w:bookmarkEnd w:id="391"/>
    </w:p>
    <w:p w:rsidR="00B935AF" w:rsidRPr="006F6BAA" w:rsidRDefault="00B935AF" w:rsidP="00B935AF">
      <w:pPr>
        <w:rPr>
          <w:sz w:val="24"/>
          <w:szCs w:val="24"/>
        </w:rPr>
      </w:pPr>
    </w:p>
    <w:p w:rsidR="00845774" w:rsidRPr="006F6BAA" w:rsidRDefault="00845774">
      <w:pPr>
        <w:jc w:val="both"/>
        <w:rPr>
          <w:sz w:val="24"/>
          <w:szCs w:val="24"/>
        </w:rPr>
      </w:pPr>
      <w:r w:rsidRPr="006F6BAA">
        <w:rPr>
          <w:sz w:val="24"/>
          <w:szCs w:val="24"/>
        </w:rPr>
        <w:t>The</w:t>
      </w:r>
      <w:r w:rsidR="00923556" w:rsidRPr="006F6BAA">
        <w:rPr>
          <w:sz w:val="24"/>
          <w:szCs w:val="24"/>
        </w:rPr>
        <w:t xml:space="preserve"> follow-up of responses to the call for p</w:t>
      </w:r>
      <w:r w:rsidRPr="006F6BAA">
        <w:rPr>
          <w:sz w:val="24"/>
          <w:szCs w:val="24"/>
        </w:rPr>
        <w:t>roposals will require the recording and further processing of personal data (e.g. name, address). All personal data (names, addresses, CVs, etc.) will be processed in accordance with Regulation (EC) No 45/2001 of the European Parliament and of the Council of 18 December 2000 on the protection of individuals with regard to processing of personal data by the  institutions and bodies of the EU and on the free movement of such data</w:t>
      </w:r>
      <w:r w:rsidRPr="006F6BAA">
        <w:rPr>
          <w:rStyle w:val="FootnoteReference"/>
          <w:sz w:val="24"/>
          <w:szCs w:val="24"/>
        </w:rPr>
        <w:footnoteReference w:id="44"/>
      </w:r>
      <w:r w:rsidRPr="006F6BAA">
        <w:rPr>
          <w:sz w:val="24"/>
          <w:szCs w:val="24"/>
        </w:rPr>
        <w:t xml:space="preserve">. </w:t>
      </w:r>
    </w:p>
    <w:p w:rsidR="00845774" w:rsidRPr="006F6BAA" w:rsidRDefault="00845774">
      <w:pPr>
        <w:jc w:val="both"/>
        <w:rPr>
          <w:sz w:val="24"/>
          <w:szCs w:val="24"/>
        </w:rPr>
      </w:pPr>
    </w:p>
    <w:p w:rsidR="00845774" w:rsidRPr="006F6BAA" w:rsidRDefault="00845774">
      <w:pPr>
        <w:jc w:val="both"/>
        <w:rPr>
          <w:sz w:val="24"/>
          <w:szCs w:val="24"/>
        </w:rPr>
      </w:pPr>
      <w:r w:rsidRPr="006F6BAA">
        <w:rPr>
          <w:sz w:val="24"/>
          <w:szCs w:val="24"/>
        </w:rPr>
        <w:t>Details concerning the processing of personal data are available on the privacy statement at:</w:t>
      </w:r>
    </w:p>
    <w:p w:rsidR="00845774" w:rsidRPr="006F6BAA" w:rsidRDefault="00D53FEF">
      <w:pPr>
        <w:jc w:val="both"/>
        <w:rPr>
          <w:sz w:val="24"/>
          <w:szCs w:val="24"/>
        </w:rPr>
      </w:pPr>
      <w:hyperlink r:id="rId11" w:history="1">
        <w:r w:rsidR="00845774" w:rsidRPr="006F6BAA">
          <w:rPr>
            <w:rStyle w:val="Hyperlink"/>
            <w:noProof/>
            <w:color w:val="auto"/>
            <w:sz w:val="24"/>
            <w:szCs w:val="24"/>
          </w:rPr>
          <w:t>http://ec.europa.eu/dataprotectionofficer/privacystatement_publicprocurement_en.pdf</w:t>
        </w:r>
      </w:hyperlink>
      <w:r w:rsidR="00304D7D">
        <w:rPr>
          <w:rStyle w:val="Hyperlink"/>
          <w:noProof/>
          <w:color w:val="auto"/>
          <w:sz w:val="24"/>
          <w:szCs w:val="24"/>
        </w:rPr>
        <w:t xml:space="preserve"> </w:t>
      </w:r>
    </w:p>
    <w:p w:rsidR="00845774" w:rsidRPr="006F6BAA" w:rsidRDefault="00D53FEF">
      <w:pPr>
        <w:jc w:val="both"/>
        <w:rPr>
          <w:sz w:val="24"/>
          <w:szCs w:val="24"/>
        </w:rPr>
      </w:pPr>
      <w:hyperlink r:id="rId12" w:history="1">
        <w:r w:rsidR="00AC7F10" w:rsidRPr="006F6BAA">
          <w:rPr>
            <w:rStyle w:val="Hyperlink"/>
            <w:noProof/>
            <w:color w:val="auto"/>
            <w:sz w:val="24"/>
            <w:szCs w:val="24"/>
          </w:rPr>
          <w:t>http://ec.europa.eu/anti_fraud/about-us/data-protection/processing-operations/not_subject_en.htm</w:t>
        </w:r>
      </w:hyperlink>
    </w:p>
    <w:p w:rsidR="00F74CC3" w:rsidRPr="006F6BAA" w:rsidRDefault="00F74CC3">
      <w:pPr>
        <w:jc w:val="both"/>
        <w:rPr>
          <w:sz w:val="24"/>
          <w:szCs w:val="24"/>
        </w:rPr>
      </w:pPr>
    </w:p>
    <w:p w:rsidR="00845774" w:rsidRPr="006F6BAA" w:rsidRDefault="00845774">
      <w:pPr>
        <w:jc w:val="both"/>
        <w:rPr>
          <w:sz w:val="24"/>
          <w:szCs w:val="24"/>
        </w:rPr>
      </w:pPr>
      <w:r w:rsidRPr="006F6BAA">
        <w:rPr>
          <w:sz w:val="24"/>
          <w:szCs w:val="24"/>
        </w:rPr>
        <w:t xml:space="preserve">Our replies to the questions in this form are necessary in order for your grant application to be assessed, and they will be processed solely for that purpose by the department responsible for the European Union grant Programme concerned. </w:t>
      </w:r>
    </w:p>
    <w:p w:rsidR="00845774" w:rsidRPr="006F6BAA" w:rsidRDefault="00845774">
      <w:pPr>
        <w:jc w:val="both"/>
        <w:rPr>
          <w:sz w:val="24"/>
          <w:szCs w:val="24"/>
        </w:rPr>
      </w:pPr>
    </w:p>
    <w:p w:rsidR="00845774" w:rsidRPr="006F6BAA" w:rsidRDefault="00845774">
      <w:pPr>
        <w:jc w:val="both"/>
        <w:rPr>
          <w:sz w:val="24"/>
          <w:szCs w:val="24"/>
        </w:rPr>
      </w:pPr>
      <w:r w:rsidRPr="006F6BAA">
        <w:rPr>
          <w:sz w:val="24"/>
          <w:szCs w:val="24"/>
        </w:rPr>
        <w:t>On request, you may be sent personal data to correct or complete. If you have any questions relating to these data, please contact OLAF's data protection officer (DPO)</w:t>
      </w:r>
      <w:r w:rsidR="00CD5F28" w:rsidRPr="006F6BAA">
        <w:rPr>
          <w:rStyle w:val="FootnoteReference"/>
          <w:sz w:val="24"/>
          <w:szCs w:val="24"/>
        </w:rPr>
        <w:footnoteReference w:id="45"/>
      </w:r>
      <w:r w:rsidRPr="006F6BAA">
        <w:rPr>
          <w:sz w:val="24"/>
          <w:szCs w:val="24"/>
        </w:rPr>
        <w:t>.</w:t>
      </w:r>
      <w:r w:rsidR="00226702" w:rsidRPr="006F6BAA">
        <w:rPr>
          <w:sz w:val="24"/>
          <w:szCs w:val="24"/>
        </w:rPr>
        <w:t xml:space="preserve"> </w:t>
      </w:r>
      <w:r w:rsidRPr="006F6BAA">
        <w:rPr>
          <w:sz w:val="24"/>
          <w:szCs w:val="24"/>
        </w:rPr>
        <w:t>Beneficiaries may lodge a complaint against the processing of their personal data with the European Data Protection Supervisor</w:t>
      </w:r>
      <w:r w:rsidRPr="006F6BAA">
        <w:rPr>
          <w:rStyle w:val="FootnoteReference"/>
          <w:sz w:val="24"/>
          <w:szCs w:val="24"/>
        </w:rPr>
        <w:footnoteReference w:id="46"/>
      </w:r>
      <w:r w:rsidRPr="006F6BAA">
        <w:rPr>
          <w:sz w:val="24"/>
          <w:szCs w:val="24"/>
        </w:rPr>
        <w:t xml:space="preserve"> at any time. </w:t>
      </w:r>
    </w:p>
    <w:p w:rsidR="002E2B74" w:rsidRPr="006F6BAA" w:rsidRDefault="002E2B74" w:rsidP="002E2B74">
      <w:pPr>
        <w:autoSpaceDE w:val="0"/>
        <w:autoSpaceDN w:val="0"/>
        <w:adjustRightInd w:val="0"/>
        <w:jc w:val="both"/>
        <w:rPr>
          <w:sz w:val="24"/>
          <w:szCs w:val="24"/>
        </w:rPr>
      </w:pPr>
    </w:p>
    <w:p w:rsidR="00BB47BF" w:rsidRPr="006F6BAA" w:rsidRDefault="00BB47BF" w:rsidP="005A40EE">
      <w:pPr>
        <w:jc w:val="both"/>
        <w:rPr>
          <w:rFonts w:eastAsiaTheme="minorHAnsi"/>
          <w:sz w:val="24"/>
          <w:szCs w:val="24"/>
        </w:rPr>
      </w:pPr>
      <w:r w:rsidRPr="006F6BAA">
        <w:rPr>
          <w:rFonts w:eastAsiaTheme="minorHAnsi"/>
          <w:sz w:val="24"/>
          <w:szCs w:val="24"/>
        </w:rPr>
        <w:t>Personal data may be registered in the Early Detection and Exclusion System (EDES). The EDES is the new system established by the Commission to reinforce the protection of the Union's financial interests and to ensure sound financial management. It replaces the Early Warning System and the Central Exclusion Database as of 1 January 2016. The EDES rules are found in the revised Financial Regulation</w:t>
      </w:r>
      <w:r w:rsidRPr="006F6BAA">
        <w:rPr>
          <w:rFonts w:eastAsiaTheme="minorHAnsi"/>
          <w:sz w:val="24"/>
          <w:szCs w:val="24"/>
          <w:vertAlign w:val="superscript"/>
        </w:rPr>
        <w:footnoteReference w:id="47"/>
      </w:r>
      <w:r w:rsidRPr="006F6BAA">
        <w:rPr>
          <w:rFonts w:eastAsiaTheme="minorHAnsi"/>
          <w:sz w:val="24"/>
          <w:szCs w:val="24"/>
        </w:rPr>
        <w:t xml:space="preserve"> and are applicable since 1 January 2016 to all contracts, grant agreements, prizes, financial instruments and remunerated experts.</w:t>
      </w:r>
    </w:p>
    <w:p w:rsidR="00BB47BF" w:rsidRPr="006F6BAA" w:rsidRDefault="00BB47BF" w:rsidP="00BB47BF">
      <w:pPr>
        <w:shd w:val="clear" w:color="auto" w:fill="FFFFFF" w:themeFill="background1"/>
        <w:autoSpaceDE w:val="0"/>
        <w:autoSpaceDN w:val="0"/>
        <w:adjustRightInd w:val="0"/>
        <w:rPr>
          <w:rFonts w:eastAsiaTheme="minorHAnsi"/>
          <w:sz w:val="24"/>
          <w:szCs w:val="24"/>
        </w:rPr>
      </w:pPr>
    </w:p>
    <w:p w:rsidR="00BB47BF" w:rsidRPr="006F6BAA" w:rsidRDefault="00BB47BF" w:rsidP="00BB47BF">
      <w:pPr>
        <w:jc w:val="both"/>
        <w:rPr>
          <w:rFonts w:eastAsiaTheme="minorHAnsi"/>
          <w:sz w:val="24"/>
          <w:szCs w:val="24"/>
        </w:rPr>
      </w:pPr>
      <w:r w:rsidRPr="006F6BAA">
        <w:rPr>
          <w:rFonts w:eastAsiaTheme="minorHAnsi"/>
          <w:sz w:val="24"/>
          <w:szCs w:val="24"/>
        </w:rPr>
        <w:t xml:space="preserve">The information on early detection/exclusion/financial penalty may stem from: </w:t>
      </w:r>
    </w:p>
    <w:p w:rsidR="00BB47BF" w:rsidRPr="006F6BAA" w:rsidRDefault="00BB47BF" w:rsidP="00BB47BF">
      <w:pPr>
        <w:jc w:val="both"/>
        <w:rPr>
          <w:rFonts w:eastAsiaTheme="minorHAnsi"/>
          <w:sz w:val="24"/>
          <w:szCs w:val="24"/>
        </w:rPr>
      </w:pPr>
    </w:p>
    <w:p w:rsidR="00BB47BF" w:rsidRPr="006F6BAA" w:rsidRDefault="00BB47BF" w:rsidP="00304D7D">
      <w:pPr>
        <w:numPr>
          <w:ilvl w:val="0"/>
          <w:numId w:val="21"/>
        </w:numPr>
        <w:spacing w:after="200"/>
        <w:contextualSpacing/>
        <w:jc w:val="both"/>
        <w:rPr>
          <w:rFonts w:eastAsiaTheme="minorHAnsi"/>
          <w:sz w:val="24"/>
          <w:szCs w:val="24"/>
        </w:rPr>
      </w:pPr>
      <w:r w:rsidRPr="006F6BAA">
        <w:rPr>
          <w:rFonts w:eastAsiaTheme="minorHAnsi"/>
          <w:sz w:val="24"/>
          <w:szCs w:val="24"/>
        </w:rPr>
        <w:t xml:space="preserve">final judgment or final administrative decisions; </w:t>
      </w:r>
    </w:p>
    <w:p w:rsidR="00BB47BF" w:rsidRPr="006F6BAA" w:rsidRDefault="00BB47BF" w:rsidP="00304D7D">
      <w:pPr>
        <w:numPr>
          <w:ilvl w:val="0"/>
          <w:numId w:val="21"/>
        </w:numPr>
        <w:spacing w:after="200"/>
        <w:contextualSpacing/>
        <w:jc w:val="both"/>
        <w:rPr>
          <w:rFonts w:eastAsiaTheme="minorHAnsi"/>
          <w:sz w:val="24"/>
          <w:szCs w:val="24"/>
        </w:rPr>
      </w:pPr>
      <w:r w:rsidRPr="006F6BAA">
        <w:rPr>
          <w:rFonts w:eastAsiaTheme="minorHAnsi"/>
          <w:sz w:val="24"/>
          <w:szCs w:val="24"/>
        </w:rPr>
        <w:t>facts and findings from the Anti-fraud office of the Commission (OLAF), Court of Auditors, audits or any other check, audit or control performed under the responsibility of the competent authorising officer;</w:t>
      </w:r>
    </w:p>
    <w:p w:rsidR="00BB47BF" w:rsidRPr="006F6BAA" w:rsidRDefault="00BB47BF" w:rsidP="00304D7D">
      <w:pPr>
        <w:numPr>
          <w:ilvl w:val="0"/>
          <w:numId w:val="21"/>
        </w:numPr>
        <w:spacing w:after="200"/>
        <w:contextualSpacing/>
        <w:jc w:val="both"/>
        <w:rPr>
          <w:rFonts w:eastAsiaTheme="minorHAnsi"/>
          <w:sz w:val="24"/>
          <w:szCs w:val="24"/>
        </w:rPr>
      </w:pPr>
      <w:r w:rsidRPr="006F6BAA">
        <w:rPr>
          <w:rFonts w:eastAsiaTheme="minorHAnsi"/>
          <w:sz w:val="24"/>
          <w:szCs w:val="24"/>
        </w:rPr>
        <w:t>non-final judgments or administrative decisions;</w:t>
      </w:r>
    </w:p>
    <w:p w:rsidR="00BB47BF" w:rsidRPr="006F6BAA" w:rsidRDefault="00BB47BF" w:rsidP="00304D7D">
      <w:pPr>
        <w:numPr>
          <w:ilvl w:val="0"/>
          <w:numId w:val="21"/>
        </w:numPr>
        <w:spacing w:after="200"/>
        <w:contextualSpacing/>
        <w:jc w:val="both"/>
        <w:rPr>
          <w:rFonts w:eastAsiaTheme="minorHAnsi"/>
          <w:sz w:val="24"/>
          <w:szCs w:val="24"/>
        </w:rPr>
      </w:pPr>
      <w:r w:rsidRPr="006F6BAA">
        <w:rPr>
          <w:rFonts w:eastAsiaTheme="minorHAnsi"/>
          <w:sz w:val="24"/>
          <w:szCs w:val="24"/>
        </w:rPr>
        <w:t xml:space="preserve">decisions of the European Central Bank (ECB), the European Investment Bank (EIB), the European Investment Fund or international organisations; </w:t>
      </w:r>
    </w:p>
    <w:p w:rsidR="00BB47BF" w:rsidRPr="006F6BAA" w:rsidRDefault="00BB47BF" w:rsidP="00304D7D">
      <w:pPr>
        <w:numPr>
          <w:ilvl w:val="0"/>
          <w:numId w:val="21"/>
        </w:numPr>
        <w:spacing w:after="200"/>
        <w:contextualSpacing/>
        <w:jc w:val="both"/>
        <w:rPr>
          <w:rFonts w:eastAsiaTheme="minorHAnsi"/>
          <w:sz w:val="24"/>
          <w:szCs w:val="24"/>
        </w:rPr>
      </w:pPr>
      <w:r w:rsidRPr="006F6BAA">
        <w:rPr>
          <w:rFonts w:eastAsiaTheme="minorHAnsi"/>
          <w:sz w:val="24"/>
          <w:szCs w:val="24"/>
        </w:rPr>
        <w:t>cases of fraud and/or irregularity by national managing authorities under shared management;</w:t>
      </w:r>
    </w:p>
    <w:p w:rsidR="00BB47BF" w:rsidRPr="006F6BAA" w:rsidRDefault="00BB47BF" w:rsidP="00304D7D">
      <w:pPr>
        <w:numPr>
          <w:ilvl w:val="0"/>
          <w:numId w:val="21"/>
        </w:numPr>
        <w:spacing w:after="200"/>
        <w:contextualSpacing/>
        <w:jc w:val="both"/>
        <w:rPr>
          <w:rFonts w:eastAsiaTheme="minorHAnsi"/>
          <w:sz w:val="24"/>
          <w:szCs w:val="24"/>
        </w:rPr>
      </w:pPr>
      <w:proofErr w:type="gramStart"/>
      <w:r w:rsidRPr="006F6BAA">
        <w:rPr>
          <w:rFonts w:eastAsiaTheme="minorHAnsi"/>
          <w:sz w:val="24"/>
          <w:szCs w:val="24"/>
        </w:rPr>
        <w:t>cases</w:t>
      </w:r>
      <w:proofErr w:type="gramEnd"/>
      <w:r w:rsidRPr="006F6BAA">
        <w:rPr>
          <w:rFonts w:eastAsiaTheme="minorHAnsi"/>
          <w:sz w:val="24"/>
          <w:szCs w:val="24"/>
        </w:rPr>
        <w:t xml:space="preserve"> of fraud and/or irregularity by delegated entities under indirect management.</w:t>
      </w:r>
    </w:p>
    <w:p w:rsidR="00A46C3E" w:rsidRPr="006F6BAA" w:rsidRDefault="00A46C3E">
      <w:pPr>
        <w:jc w:val="both"/>
        <w:rPr>
          <w:sz w:val="24"/>
          <w:szCs w:val="24"/>
        </w:rPr>
      </w:pPr>
    </w:p>
    <w:p w:rsidR="009040B5" w:rsidRPr="006F6BAA" w:rsidRDefault="00436CE2" w:rsidP="00436CE2">
      <w:pPr>
        <w:pStyle w:val="Heading1"/>
        <w:rPr>
          <w:sz w:val="24"/>
          <w:szCs w:val="24"/>
        </w:rPr>
      </w:pPr>
      <w:bookmarkStart w:id="392" w:name="_Toc247019655"/>
      <w:bookmarkStart w:id="393" w:name="_Toc247522690"/>
      <w:bookmarkStart w:id="394" w:name="_Toc388001504"/>
      <w:bookmarkStart w:id="395" w:name="_Toc388430610"/>
      <w:bookmarkStart w:id="396" w:name="_Toc388431019"/>
      <w:bookmarkStart w:id="397" w:name="_Toc388620833"/>
      <w:bookmarkStart w:id="398" w:name="_Toc388862594"/>
      <w:bookmarkStart w:id="399" w:name="_Toc388867229"/>
      <w:bookmarkStart w:id="400" w:name="_Toc388867364"/>
      <w:bookmarkStart w:id="401" w:name="_Toc388869061"/>
      <w:bookmarkStart w:id="402" w:name="_Toc423016009"/>
      <w:bookmarkStart w:id="403" w:name="_Toc423016128"/>
      <w:bookmarkStart w:id="404" w:name="_Toc446498642"/>
      <w:bookmarkStart w:id="405" w:name="_Toc481491559"/>
      <w:bookmarkStart w:id="406" w:name="_Toc484788397"/>
      <w:r w:rsidRPr="006F6BAA">
        <w:rPr>
          <w:sz w:val="24"/>
          <w:szCs w:val="24"/>
        </w:rPr>
        <w:t>13.</w:t>
      </w:r>
      <w:r w:rsidRPr="006F6BAA">
        <w:rPr>
          <w:sz w:val="24"/>
          <w:szCs w:val="24"/>
        </w:rPr>
        <w:tab/>
      </w:r>
      <w:r w:rsidR="009040B5" w:rsidRPr="006F6BAA">
        <w:rPr>
          <w:sz w:val="24"/>
          <w:szCs w:val="24"/>
        </w:rPr>
        <w:t>Complaints to the European Ombudsman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436CE2" w:rsidRPr="006F6BAA" w:rsidRDefault="00436CE2" w:rsidP="00436CE2">
      <w:pPr>
        <w:rPr>
          <w:sz w:val="24"/>
          <w:szCs w:val="24"/>
        </w:rPr>
      </w:pPr>
    </w:p>
    <w:p w:rsidR="009040B5" w:rsidRPr="006F6BAA" w:rsidRDefault="009040B5" w:rsidP="009040B5">
      <w:pPr>
        <w:ind w:left="11" w:hanging="11"/>
        <w:jc w:val="both"/>
        <w:rPr>
          <w:rFonts w:eastAsiaTheme="minorHAnsi"/>
          <w:snapToGrid w:val="0"/>
          <w:sz w:val="24"/>
          <w:szCs w:val="24"/>
          <w:lang w:val="en-US"/>
        </w:rPr>
      </w:pPr>
      <w:r w:rsidRPr="006F6BAA">
        <w:rPr>
          <w:rFonts w:eastAsiaTheme="minorHAnsi"/>
          <w:snapToGrid w:val="0"/>
          <w:sz w:val="24"/>
          <w:szCs w:val="24"/>
          <w:lang w:val="en-US"/>
        </w:rPr>
        <w:t>At all stages of the administrative handling of the application, whenever persons or bodies involved consider that they are the victim of maladministration, they may, independently of any other avenue of appeal, submit a complaint to the European Ombudsman (</w:t>
      </w:r>
      <w:hyperlink r:id="rId13" w:history="1">
        <w:r w:rsidRPr="006F6BAA">
          <w:rPr>
            <w:rFonts w:eastAsiaTheme="minorHAnsi"/>
            <w:color w:val="0000FF"/>
            <w:sz w:val="24"/>
            <w:szCs w:val="24"/>
            <w:u w:val="single"/>
          </w:rPr>
          <w:t>http://www.ombudsman.europa.eu</w:t>
        </w:r>
      </w:hyperlink>
      <w:r w:rsidRPr="006F6BAA">
        <w:rPr>
          <w:rFonts w:eastAsiaTheme="minorHAnsi"/>
          <w:sz w:val="24"/>
          <w:szCs w:val="24"/>
        </w:rPr>
        <w:t>) in accordance with Article 228(1) of the Treaty on the Functioning of the European Union and as provided by the Parliament Decision of 9 March 1994 on the regulations and general conditions governing the performance of the Ombudsman's duties published in the Official Journal L 113 of 4 May 1994.</w:t>
      </w:r>
      <w:r w:rsidRPr="006F6BAA">
        <w:rPr>
          <w:rFonts w:eastAsiaTheme="minorHAnsi"/>
          <w:snapToGrid w:val="0"/>
          <w:sz w:val="24"/>
          <w:szCs w:val="24"/>
          <w:lang w:val="en-US"/>
        </w:rPr>
        <w:t xml:space="preserve"> </w:t>
      </w:r>
    </w:p>
    <w:p w:rsidR="00290CEE" w:rsidRDefault="00290CEE" w:rsidP="009040B5">
      <w:pPr>
        <w:ind w:left="11" w:hanging="11"/>
        <w:jc w:val="both"/>
        <w:rPr>
          <w:rFonts w:eastAsiaTheme="minorHAnsi"/>
          <w:snapToGrid w:val="0"/>
          <w:sz w:val="24"/>
          <w:szCs w:val="24"/>
          <w:lang w:val="en-US"/>
        </w:rPr>
      </w:pPr>
    </w:p>
    <w:p w:rsidR="00134DD9" w:rsidRPr="006F6BAA" w:rsidRDefault="00134DD9" w:rsidP="009040B5">
      <w:pPr>
        <w:ind w:left="11" w:hanging="11"/>
        <w:jc w:val="both"/>
        <w:rPr>
          <w:rFonts w:eastAsiaTheme="minorHAnsi"/>
          <w:snapToGrid w:val="0"/>
          <w:sz w:val="24"/>
          <w:szCs w:val="24"/>
          <w:lang w:val="en-US"/>
        </w:rPr>
      </w:pPr>
    </w:p>
    <w:p w:rsidR="009040B5" w:rsidRPr="006F6BAA" w:rsidRDefault="00290CEE" w:rsidP="00F877AC">
      <w:pPr>
        <w:pStyle w:val="Heading1"/>
        <w:rPr>
          <w:sz w:val="24"/>
          <w:szCs w:val="24"/>
        </w:rPr>
      </w:pPr>
      <w:bookmarkStart w:id="407" w:name="_Toc388001505"/>
      <w:bookmarkStart w:id="408" w:name="_Toc388430611"/>
      <w:bookmarkStart w:id="409" w:name="_Toc388431020"/>
      <w:bookmarkStart w:id="410" w:name="_Toc388620834"/>
      <w:bookmarkStart w:id="411" w:name="_Toc388862595"/>
      <w:bookmarkStart w:id="412" w:name="_Toc388867230"/>
      <w:bookmarkStart w:id="413" w:name="_Toc388867365"/>
      <w:bookmarkStart w:id="414" w:name="_Toc388869062"/>
      <w:bookmarkStart w:id="415" w:name="_Toc423016010"/>
      <w:bookmarkStart w:id="416" w:name="_Toc423016129"/>
      <w:bookmarkStart w:id="417" w:name="_Toc446498643"/>
      <w:bookmarkStart w:id="418" w:name="_Toc481491560"/>
      <w:bookmarkStart w:id="419" w:name="_Toc484788398"/>
      <w:r w:rsidRPr="006F6BAA">
        <w:rPr>
          <w:sz w:val="24"/>
          <w:szCs w:val="24"/>
        </w:rPr>
        <w:lastRenderedPageBreak/>
        <w:t>14.</w:t>
      </w:r>
      <w:r w:rsidRPr="006F6BAA">
        <w:rPr>
          <w:sz w:val="24"/>
          <w:szCs w:val="24"/>
        </w:rPr>
        <w:tab/>
      </w:r>
      <w:bookmarkEnd w:id="407"/>
      <w:bookmarkEnd w:id="408"/>
      <w:bookmarkEnd w:id="409"/>
      <w:bookmarkEnd w:id="410"/>
      <w:bookmarkEnd w:id="411"/>
      <w:bookmarkEnd w:id="412"/>
      <w:bookmarkEnd w:id="413"/>
      <w:bookmarkEnd w:id="414"/>
      <w:bookmarkEnd w:id="415"/>
      <w:bookmarkEnd w:id="416"/>
      <w:bookmarkEnd w:id="417"/>
      <w:bookmarkEnd w:id="418"/>
      <w:r w:rsidR="00F877AC" w:rsidRPr="006F6BAA">
        <w:rPr>
          <w:sz w:val="24"/>
          <w:szCs w:val="24"/>
        </w:rPr>
        <w:t>additional information</w:t>
      </w:r>
      <w:bookmarkEnd w:id="419"/>
    </w:p>
    <w:p w:rsidR="00290CEE" w:rsidRPr="006F6BAA" w:rsidRDefault="00290CEE" w:rsidP="00290CEE">
      <w:pPr>
        <w:rPr>
          <w:sz w:val="24"/>
          <w:szCs w:val="24"/>
        </w:rPr>
      </w:pPr>
    </w:p>
    <w:p w:rsidR="0096630B" w:rsidRPr="006F6BAA" w:rsidRDefault="0096630B" w:rsidP="0096630B">
      <w:pPr>
        <w:jc w:val="both"/>
        <w:rPr>
          <w:rFonts w:eastAsiaTheme="minorHAnsi"/>
          <w:sz w:val="24"/>
          <w:szCs w:val="24"/>
        </w:rPr>
      </w:pPr>
      <w:r w:rsidRPr="006F6BAA">
        <w:rPr>
          <w:rFonts w:eastAsiaTheme="minorHAnsi"/>
          <w:sz w:val="24"/>
          <w:szCs w:val="24"/>
        </w:rPr>
        <w:t>The following links containing useful information are available from the Commission's (OLAF) website</w:t>
      </w:r>
      <w:r w:rsidRPr="006F6BAA">
        <w:rPr>
          <w:rFonts w:eastAsiaTheme="minorHAnsi"/>
          <w:sz w:val="24"/>
          <w:szCs w:val="24"/>
          <w:vertAlign w:val="superscript"/>
        </w:rPr>
        <w:footnoteReference w:id="48"/>
      </w:r>
      <w:r w:rsidRPr="006F6BAA">
        <w:rPr>
          <w:rFonts w:eastAsiaTheme="minorHAnsi"/>
          <w:sz w:val="24"/>
          <w:szCs w:val="24"/>
        </w:rPr>
        <w:t xml:space="preserve"> and the </w:t>
      </w:r>
      <w:r w:rsidR="00FB57B8">
        <w:rPr>
          <w:rFonts w:eastAsiaTheme="minorHAnsi"/>
          <w:sz w:val="24"/>
          <w:szCs w:val="24"/>
        </w:rPr>
        <w:t>Participant Portal</w:t>
      </w:r>
      <w:r w:rsidRPr="006F6BAA">
        <w:rPr>
          <w:rFonts w:eastAsiaTheme="minorHAnsi"/>
          <w:sz w:val="24"/>
          <w:szCs w:val="24"/>
          <w:vertAlign w:val="superscript"/>
        </w:rPr>
        <w:footnoteReference w:id="49"/>
      </w:r>
      <w:r w:rsidRPr="006F6BAA">
        <w:rPr>
          <w:rFonts w:eastAsiaTheme="minorHAnsi"/>
          <w:sz w:val="24"/>
          <w:szCs w:val="24"/>
        </w:rPr>
        <w:t>:</w:t>
      </w:r>
    </w:p>
    <w:p w:rsidR="0096630B" w:rsidRPr="006F6BAA" w:rsidRDefault="0096630B" w:rsidP="0096630B">
      <w:pPr>
        <w:jc w:val="both"/>
        <w:rPr>
          <w:rFonts w:eastAsiaTheme="minorHAnsi"/>
          <w:sz w:val="24"/>
          <w:szCs w:val="24"/>
        </w:rPr>
      </w:pPr>
    </w:p>
    <w:p w:rsidR="0096630B" w:rsidRPr="006F6BAA" w:rsidRDefault="0096630B" w:rsidP="00DA7CA1">
      <w:pPr>
        <w:numPr>
          <w:ilvl w:val="1"/>
          <w:numId w:val="24"/>
        </w:numPr>
        <w:spacing w:line="276" w:lineRule="auto"/>
        <w:ind w:left="700"/>
        <w:jc w:val="both"/>
        <w:rPr>
          <w:rFonts w:eastAsiaTheme="minorHAnsi"/>
          <w:sz w:val="24"/>
          <w:szCs w:val="24"/>
        </w:rPr>
      </w:pPr>
      <w:r w:rsidRPr="006F6BAA">
        <w:rPr>
          <w:rFonts w:eastAsiaTheme="minorHAnsi"/>
          <w:sz w:val="24"/>
          <w:szCs w:val="24"/>
        </w:rPr>
        <w:t xml:space="preserve">the Financial Regulation 966/2012 (FR) as amended by Regulation 2015/1929 of 28 October 2015 and the Rules of Application, Commission Delegated Regulation 1268/2012 (RAP), as amended by Commission Delegated Regulation 2015/2462 of 30 October 2015; </w:t>
      </w:r>
    </w:p>
    <w:p w:rsidR="0096630B" w:rsidRPr="006F6BAA" w:rsidRDefault="0096630B" w:rsidP="00DA7CA1">
      <w:pPr>
        <w:numPr>
          <w:ilvl w:val="1"/>
          <w:numId w:val="24"/>
        </w:numPr>
        <w:spacing w:line="276" w:lineRule="auto"/>
        <w:ind w:left="700"/>
        <w:jc w:val="both"/>
        <w:rPr>
          <w:rFonts w:eastAsiaTheme="minorHAnsi"/>
          <w:sz w:val="24"/>
          <w:szCs w:val="24"/>
        </w:rPr>
      </w:pPr>
      <w:r w:rsidRPr="006F6BAA">
        <w:rPr>
          <w:rFonts w:eastAsiaTheme="minorHAnsi"/>
          <w:sz w:val="24"/>
          <w:szCs w:val="24"/>
        </w:rPr>
        <w:t>the beneficiaries of EU funding (Financial Transparency Scheme – FTS);</w:t>
      </w:r>
    </w:p>
    <w:p w:rsidR="0096630B" w:rsidRPr="006F6BAA" w:rsidRDefault="0096630B" w:rsidP="00DA7CA1">
      <w:pPr>
        <w:numPr>
          <w:ilvl w:val="1"/>
          <w:numId w:val="24"/>
        </w:numPr>
        <w:spacing w:line="276" w:lineRule="auto"/>
        <w:ind w:left="700"/>
        <w:jc w:val="both"/>
        <w:rPr>
          <w:rFonts w:eastAsiaTheme="minorHAnsi"/>
          <w:sz w:val="24"/>
          <w:szCs w:val="24"/>
        </w:rPr>
      </w:pPr>
      <w:r w:rsidRPr="006F6BAA">
        <w:rPr>
          <w:rFonts w:eastAsiaTheme="minorHAnsi"/>
          <w:sz w:val="24"/>
          <w:szCs w:val="24"/>
        </w:rPr>
        <w:t>EU funding (grants);</w:t>
      </w:r>
    </w:p>
    <w:p w:rsidR="0096630B" w:rsidRPr="006F6BAA" w:rsidRDefault="0096630B" w:rsidP="00DA7CA1">
      <w:pPr>
        <w:numPr>
          <w:ilvl w:val="1"/>
          <w:numId w:val="24"/>
        </w:numPr>
        <w:spacing w:line="276" w:lineRule="auto"/>
        <w:ind w:left="700"/>
        <w:jc w:val="both"/>
        <w:rPr>
          <w:rFonts w:eastAsiaTheme="minorHAnsi"/>
          <w:sz w:val="24"/>
          <w:szCs w:val="24"/>
        </w:rPr>
      </w:pPr>
      <w:r w:rsidRPr="006F6BAA">
        <w:rPr>
          <w:rFonts w:eastAsiaTheme="minorHAnsi"/>
          <w:sz w:val="24"/>
          <w:szCs w:val="24"/>
        </w:rPr>
        <w:t>the Hercule Programmes: Financing Decisions, Annual Work Programmes, Evaluation Report and other relevant documents;</w:t>
      </w:r>
    </w:p>
    <w:p w:rsidR="0096630B" w:rsidRPr="006F6BAA" w:rsidRDefault="0096630B" w:rsidP="00DA7CA1">
      <w:pPr>
        <w:numPr>
          <w:ilvl w:val="1"/>
          <w:numId w:val="24"/>
        </w:numPr>
        <w:spacing w:line="276" w:lineRule="auto"/>
        <w:ind w:left="700"/>
        <w:jc w:val="both"/>
        <w:rPr>
          <w:rFonts w:eastAsiaTheme="minorHAnsi"/>
          <w:sz w:val="24"/>
          <w:szCs w:val="24"/>
        </w:rPr>
      </w:pPr>
      <w:r w:rsidRPr="006F6BAA">
        <w:rPr>
          <w:rFonts w:eastAsiaTheme="minorHAnsi"/>
          <w:sz w:val="24"/>
          <w:szCs w:val="24"/>
        </w:rPr>
        <w:t xml:space="preserve">Ceilings for the reimbursement of incurred travel and subsistence costs, applicable to EU staff carrying out missions. </w:t>
      </w:r>
    </w:p>
    <w:p w:rsidR="009040B5" w:rsidRPr="006F6BAA" w:rsidRDefault="009040B5" w:rsidP="009040B5">
      <w:pPr>
        <w:jc w:val="both"/>
        <w:rPr>
          <w:rFonts w:eastAsiaTheme="minorHAnsi"/>
          <w:sz w:val="24"/>
          <w:szCs w:val="24"/>
        </w:rPr>
      </w:pPr>
    </w:p>
    <w:p w:rsidR="009040B5" w:rsidRPr="006F6BAA" w:rsidRDefault="009040B5" w:rsidP="009040B5">
      <w:pPr>
        <w:jc w:val="both"/>
        <w:rPr>
          <w:rFonts w:eastAsiaTheme="minorHAnsi"/>
          <w:b/>
          <w:sz w:val="24"/>
          <w:szCs w:val="24"/>
          <w:u w:val="single"/>
        </w:rPr>
      </w:pPr>
      <w:r w:rsidRPr="006F6BAA">
        <w:rPr>
          <w:rFonts w:eastAsiaTheme="minorHAnsi"/>
          <w:sz w:val="24"/>
          <w:szCs w:val="24"/>
        </w:rPr>
        <w:t xml:space="preserve">Applicants are advised to consult </w:t>
      </w:r>
      <w:r w:rsidR="005A7BA6" w:rsidRPr="006F6BAA">
        <w:rPr>
          <w:rFonts w:eastAsiaTheme="minorHAnsi"/>
          <w:sz w:val="24"/>
          <w:szCs w:val="24"/>
        </w:rPr>
        <w:t xml:space="preserve">the </w:t>
      </w:r>
      <w:r w:rsidR="00FB57B8">
        <w:rPr>
          <w:rFonts w:eastAsiaTheme="minorHAnsi"/>
          <w:sz w:val="24"/>
          <w:szCs w:val="24"/>
        </w:rPr>
        <w:t>Participant Portal</w:t>
      </w:r>
      <w:r w:rsidRPr="006F6BAA">
        <w:rPr>
          <w:rFonts w:eastAsiaTheme="minorHAnsi"/>
          <w:sz w:val="24"/>
          <w:szCs w:val="24"/>
        </w:rPr>
        <w:t xml:space="preserve"> in the period leading up to the submission deadline, in case announcements, updates or answers to questions (FAQs) are published.</w:t>
      </w:r>
    </w:p>
    <w:p w:rsidR="00DD4EFB" w:rsidRPr="006F6BAA" w:rsidRDefault="00DD4EFB" w:rsidP="009C7533">
      <w:pPr>
        <w:tabs>
          <w:tab w:val="left" w:pos="567"/>
        </w:tabs>
        <w:autoSpaceDE w:val="0"/>
        <w:autoSpaceDN w:val="0"/>
        <w:adjustRightInd w:val="0"/>
        <w:rPr>
          <w:sz w:val="24"/>
          <w:szCs w:val="24"/>
        </w:rPr>
      </w:pPr>
    </w:p>
    <w:p w:rsidR="006F6BAA" w:rsidRPr="006F6BAA" w:rsidRDefault="006F6BAA">
      <w:pPr>
        <w:tabs>
          <w:tab w:val="left" w:pos="567"/>
        </w:tabs>
        <w:autoSpaceDE w:val="0"/>
        <w:autoSpaceDN w:val="0"/>
        <w:adjustRightInd w:val="0"/>
        <w:rPr>
          <w:sz w:val="24"/>
          <w:szCs w:val="24"/>
        </w:rPr>
      </w:pPr>
    </w:p>
    <w:sectPr w:rsidR="006F6BAA" w:rsidRPr="006F6BAA" w:rsidSect="00834D4A">
      <w:footerReference w:type="even" r:id="rId14"/>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40" w:rsidRPr="00720C26" w:rsidRDefault="00A46940">
      <w:r w:rsidRPr="00720C26">
        <w:separator/>
      </w:r>
    </w:p>
    <w:p w:rsidR="00A46940" w:rsidRPr="00720C26" w:rsidRDefault="00A46940"/>
    <w:p w:rsidR="00A46940" w:rsidRPr="00720C26" w:rsidRDefault="00A46940" w:rsidP="00F222FF"/>
  </w:endnote>
  <w:endnote w:type="continuationSeparator" w:id="0">
    <w:p w:rsidR="00A46940" w:rsidRPr="00720C26" w:rsidRDefault="00A46940">
      <w:r w:rsidRPr="00720C26">
        <w:continuationSeparator/>
      </w:r>
    </w:p>
    <w:p w:rsidR="00A46940" w:rsidRPr="00720C26" w:rsidRDefault="00A46940"/>
    <w:p w:rsidR="00A46940" w:rsidRPr="00720C26" w:rsidRDefault="00A46940" w:rsidP="00F2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40" w:rsidRPr="00720C26" w:rsidRDefault="00A46940" w:rsidP="0043519F">
    <w:pPr>
      <w:pStyle w:val="Footer"/>
      <w:framePr w:wrap="around" w:vAnchor="text" w:hAnchor="margin" w:xAlign="right" w:y="1"/>
      <w:rPr>
        <w:rStyle w:val="PageNumber"/>
      </w:rPr>
    </w:pPr>
    <w:r w:rsidRPr="00720C26">
      <w:rPr>
        <w:rStyle w:val="PageNumber"/>
      </w:rPr>
      <w:fldChar w:fldCharType="begin"/>
    </w:r>
    <w:r w:rsidRPr="00720C26">
      <w:rPr>
        <w:rStyle w:val="PageNumber"/>
      </w:rPr>
      <w:instrText xml:space="preserve">PAGE  </w:instrText>
    </w:r>
    <w:r w:rsidRPr="00720C26">
      <w:rPr>
        <w:rStyle w:val="PageNumber"/>
      </w:rPr>
      <w:fldChar w:fldCharType="end"/>
    </w:r>
  </w:p>
  <w:p w:rsidR="00A46940" w:rsidRPr="00720C26" w:rsidRDefault="00A46940" w:rsidP="00727B34">
    <w:pPr>
      <w:pStyle w:val="Footer"/>
      <w:ind w:right="360"/>
    </w:pPr>
  </w:p>
  <w:p w:rsidR="00A46940" w:rsidRPr="00720C26" w:rsidRDefault="00A46940"/>
  <w:p w:rsidR="00A46940" w:rsidRPr="00720C26" w:rsidRDefault="00A46940" w:rsidP="00F22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65553"/>
      <w:docPartObj>
        <w:docPartGallery w:val="Page Numbers (Bottom of Page)"/>
        <w:docPartUnique/>
      </w:docPartObj>
    </w:sdtPr>
    <w:sdtEndPr>
      <w:rPr>
        <w:noProof/>
      </w:rPr>
    </w:sdtEndPr>
    <w:sdtContent>
      <w:sdt>
        <w:sdtPr>
          <w:rPr>
            <w:rFonts w:asciiTheme="minorHAnsi" w:eastAsiaTheme="minorHAnsi" w:hAnsiTheme="minorHAnsi" w:cstheme="minorBidi"/>
            <w:sz w:val="22"/>
            <w:szCs w:val="22"/>
          </w:rPr>
          <w:id w:val="-308781123"/>
          <w:docPartObj>
            <w:docPartGallery w:val="Page Numbers (Bottom of Page)"/>
            <w:docPartUnique/>
          </w:docPartObj>
        </w:sdtPr>
        <w:sdtEndPr>
          <w:rPr>
            <w:rFonts w:ascii="Times New Roman" w:hAnsi="Times New Roman" w:cs="Times New Roman"/>
            <w:noProof/>
            <w:sz w:val="20"/>
            <w:szCs w:val="20"/>
          </w:rPr>
        </w:sdtEndPr>
        <w:sdtContent>
          <w:p w:rsidR="00A46940" w:rsidRDefault="00A46940" w:rsidP="00AC4C4C">
            <w:pPr>
              <w:pStyle w:val="Footer"/>
              <w:jc w:val="center"/>
              <w:rPr>
                <w:rFonts w:asciiTheme="minorHAnsi" w:eastAsiaTheme="minorHAnsi" w:hAnsiTheme="minorHAnsi" w:cstheme="minorBidi"/>
                <w:sz w:val="22"/>
                <w:szCs w:val="22"/>
              </w:rPr>
            </w:pPr>
          </w:p>
          <w:p w:rsidR="00A46940" w:rsidRPr="00AC4C4C" w:rsidRDefault="00A46940" w:rsidP="00AC4C4C">
            <w:pPr>
              <w:pStyle w:val="Footer"/>
              <w:jc w:val="center"/>
              <w:rPr>
                <w:rFonts w:eastAsiaTheme="minorHAnsi"/>
              </w:rPr>
            </w:pPr>
            <w:r w:rsidRPr="00AC4C4C">
              <w:rPr>
                <w:rFonts w:eastAsiaTheme="minorHAnsi"/>
              </w:rPr>
              <w:t xml:space="preserve">Call text for the </w:t>
            </w:r>
            <w:r>
              <w:rPr>
                <w:rFonts w:eastAsiaTheme="minorHAnsi"/>
              </w:rPr>
              <w:t>law training and studies</w:t>
            </w:r>
            <w:r w:rsidRPr="00AC4C4C">
              <w:rPr>
                <w:rFonts w:eastAsiaTheme="minorHAnsi"/>
              </w:rPr>
              <w:t xml:space="preserve"> call for proposals-2017, page: </w:t>
            </w:r>
            <w:r w:rsidRPr="00AC4C4C">
              <w:rPr>
                <w:rFonts w:eastAsiaTheme="minorHAnsi"/>
              </w:rPr>
              <w:fldChar w:fldCharType="begin"/>
            </w:r>
            <w:r w:rsidRPr="00AC4C4C">
              <w:rPr>
                <w:rFonts w:eastAsiaTheme="minorHAnsi"/>
              </w:rPr>
              <w:instrText xml:space="preserve"> PAGE   \* MERGEFORMAT </w:instrText>
            </w:r>
            <w:r w:rsidRPr="00AC4C4C">
              <w:rPr>
                <w:rFonts w:eastAsiaTheme="minorHAnsi"/>
              </w:rPr>
              <w:fldChar w:fldCharType="separate"/>
            </w:r>
            <w:r w:rsidR="00D53FEF">
              <w:rPr>
                <w:rFonts w:eastAsiaTheme="minorHAnsi"/>
                <w:noProof/>
              </w:rPr>
              <w:t>2</w:t>
            </w:r>
            <w:r w:rsidRPr="00AC4C4C">
              <w:rPr>
                <w:rFonts w:eastAsiaTheme="minorHAnsi"/>
                <w:noProof/>
              </w:rPr>
              <w:fldChar w:fldCharType="end"/>
            </w:r>
          </w:p>
        </w:sdtContent>
      </w:sdt>
      <w:p w:rsidR="00A46940" w:rsidRPr="00AC4C4C" w:rsidRDefault="00A46940" w:rsidP="00AC4C4C">
        <w:pPr>
          <w:tabs>
            <w:tab w:val="center" w:pos="4513"/>
            <w:tab w:val="right" w:pos="9026"/>
          </w:tabs>
          <w:rPr>
            <w:rFonts w:asciiTheme="minorHAnsi" w:eastAsiaTheme="minorHAnsi" w:hAnsiTheme="minorHAnsi" w:cstheme="minorBidi"/>
            <w:sz w:val="22"/>
            <w:szCs w:val="22"/>
          </w:rPr>
        </w:pPr>
      </w:p>
      <w:p w:rsidR="00A46940" w:rsidRDefault="00A46940" w:rsidP="00E91A62">
        <w:pPr>
          <w:pStyle w:val="Footer"/>
          <w:spacing w:before="120" w:after="120"/>
          <w:jc w:val="center"/>
        </w:pPr>
      </w:p>
      <w:p w:rsidR="00A46940" w:rsidRPr="00F572B9" w:rsidRDefault="00A46940">
        <w:pPr>
          <w:pStyle w:val="Footer"/>
          <w:jc w:val="center"/>
        </w:pPr>
        <w:r w:rsidRPr="00F572B9">
          <w:fldChar w:fldCharType="begin"/>
        </w:r>
        <w:r w:rsidRPr="00F572B9">
          <w:instrText xml:space="preserve"> PAGE   \* MERGEFORMAT </w:instrText>
        </w:r>
        <w:r w:rsidRPr="00F572B9">
          <w:fldChar w:fldCharType="separate"/>
        </w:r>
        <w:r w:rsidR="00D53FEF">
          <w:rPr>
            <w:noProof/>
          </w:rPr>
          <w:t>2</w:t>
        </w:r>
        <w:r w:rsidRPr="00F572B9">
          <w:rPr>
            <w:noProof/>
          </w:rPr>
          <w:fldChar w:fldCharType="end"/>
        </w:r>
      </w:p>
    </w:sdtContent>
  </w:sdt>
  <w:p w:rsidR="00A46940" w:rsidRPr="00720C26" w:rsidRDefault="00A46940" w:rsidP="003961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40" w:rsidRPr="00720C26" w:rsidRDefault="00A46940" w:rsidP="00F222FF">
      <w:r w:rsidRPr="00720C26">
        <w:separator/>
      </w:r>
    </w:p>
  </w:footnote>
  <w:footnote w:type="continuationSeparator" w:id="0">
    <w:p w:rsidR="00A46940" w:rsidRPr="00720C26" w:rsidRDefault="00A46940" w:rsidP="00F222FF">
      <w:r w:rsidRPr="00720C26">
        <w:continuationSeparator/>
      </w:r>
    </w:p>
  </w:footnote>
  <w:footnote w:id="1">
    <w:p w:rsidR="00A46940" w:rsidRPr="00A42FC3" w:rsidRDefault="00A46940" w:rsidP="009307FE">
      <w:pPr>
        <w:pStyle w:val="footnote0"/>
        <w:tabs>
          <w:tab w:val="clear" w:pos="284"/>
          <w:tab w:val="left" w:pos="851"/>
        </w:tabs>
        <w:ind w:left="851" w:hanging="851"/>
      </w:pPr>
      <w:r w:rsidRPr="00437B15">
        <w:rPr>
          <w:rStyle w:val="FootnoteReference"/>
          <w:rFonts w:ascii="Times New Roman" w:hAnsi="Times New Roman"/>
          <w:sz w:val="20"/>
        </w:rPr>
        <w:footnoteRef/>
      </w:r>
      <w:r w:rsidRPr="00437B15">
        <w:rPr>
          <w:rFonts w:ascii="Times New Roman" w:hAnsi="Times New Roman"/>
          <w:sz w:val="20"/>
        </w:rPr>
        <w:t xml:space="preserve"> </w:t>
      </w:r>
      <w:r>
        <w:tab/>
      </w:r>
      <w:r w:rsidRPr="00350A8B">
        <w:rPr>
          <w:rFonts w:ascii="Times New Roman" w:hAnsi="Times New Roman"/>
          <w:sz w:val="20"/>
        </w:rPr>
        <w:t>Regulation (EU) No 250/2014 of 26 February 2014 of the European Parliament and of the Council establishing a programme to promote activities in the field of the protection of the financial interests of the European Union (“Hercule III” Programme) and repealing Decision No. 804/2004/EC, OJ L 84 of 20 March 2014.</w:t>
      </w:r>
      <w:r w:rsidRPr="00A42FC3">
        <w:t xml:space="preserve"> </w:t>
      </w:r>
    </w:p>
  </w:footnote>
  <w:footnote w:id="2">
    <w:p w:rsidR="00A46940" w:rsidRPr="00A42FC3" w:rsidRDefault="00A46940" w:rsidP="000E7D3E">
      <w:pPr>
        <w:pStyle w:val="footnote0"/>
        <w:tabs>
          <w:tab w:val="clear" w:pos="284"/>
          <w:tab w:val="left" w:pos="851"/>
        </w:tabs>
        <w:ind w:left="851" w:hanging="851"/>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ab/>
      </w:r>
      <w:proofErr w:type="gramStart"/>
      <w:r w:rsidRPr="00350A8B">
        <w:rPr>
          <w:rFonts w:ascii="Times New Roman" w:hAnsi="Times New Roman"/>
          <w:sz w:val="20"/>
        </w:rPr>
        <w:t>Article 3 of Regulation (EU) No. 250/2014.</w:t>
      </w:r>
      <w:proofErr w:type="gramEnd"/>
    </w:p>
  </w:footnote>
  <w:footnote w:id="3">
    <w:p w:rsidR="00A46940" w:rsidRPr="00350A8B" w:rsidRDefault="00A46940" w:rsidP="000E7D3E">
      <w:pPr>
        <w:pStyle w:val="footnote0"/>
        <w:tabs>
          <w:tab w:val="clear" w:pos="284"/>
          <w:tab w:val="left" w:pos="851"/>
        </w:tabs>
        <w:ind w:left="851" w:hanging="851"/>
        <w:rPr>
          <w:rFonts w:ascii="Times New Roman" w:hAnsi="Times New Roman"/>
          <w:sz w:val="20"/>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ab/>
      </w:r>
      <w:proofErr w:type="gramStart"/>
      <w:r w:rsidRPr="00350A8B">
        <w:rPr>
          <w:rFonts w:ascii="Times New Roman" w:hAnsi="Times New Roman"/>
          <w:sz w:val="20"/>
        </w:rPr>
        <w:t>Article 4 of Regulation (EU) No. 250/2014.</w:t>
      </w:r>
      <w:proofErr w:type="gramEnd"/>
    </w:p>
  </w:footnote>
  <w:footnote w:id="4">
    <w:p w:rsidR="00A46940" w:rsidRPr="00350A8B" w:rsidRDefault="00A46940" w:rsidP="000E7D3E">
      <w:pPr>
        <w:pStyle w:val="footnote0"/>
        <w:tabs>
          <w:tab w:val="clear" w:pos="284"/>
          <w:tab w:val="left" w:pos="851"/>
        </w:tabs>
        <w:ind w:left="851" w:hanging="851"/>
        <w:rPr>
          <w:rFonts w:ascii="Times New Roman" w:hAnsi="Times New Roman"/>
          <w:sz w:val="20"/>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ab/>
      </w:r>
      <w:r w:rsidRPr="00350A8B">
        <w:rPr>
          <w:rFonts w:ascii="Times New Roman" w:hAnsi="Times New Roman"/>
          <w:sz w:val="20"/>
        </w:rPr>
        <w:t>C(2017)1120 final of 22 February 2017, Commission Decision of 22 February 2017 concerning the adoption of the work programme for 2017 and the financing for the implementation of the Hercule III Programme (Financing Decision 2017 (FD2017) and Annual Work Programme 2017 (AWP2017)).</w:t>
      </w:r>
    </w:p>
  </w:footnote>
  <w:footnote w:id="5">
    <w:p w:rsidR="00A46940" w:rsidRPr="00350A8B" w:rsidRDefault="00A46940" w:rsidP="00D2342E">
      <w:pPr>
        <w:pStyle w:val="footnote0"/>
        <w:tabs>
          <w:tab w:val="clear" w:pos="284"/>
          <w:tab w:val="left" w:pos="851"/>
        </w:tabs>
        <w:ind w:left="851" w:hanging="851"/>
        <w:rPr>
          <w:rFonts w:ascii="Times New Roman" w:hAnsi="Times New Roman"/>
          <w:sz w:val="20"/>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ab/>
      </w:r>
      <w:r w:rsidRPr="00350A8B">
        <w:rPr>
          <w:rFonts w:ascii="Times New Roman" w:hAnsi="Times New Roman"/>
          <w:sz w:val="20"/>
        </w:rPr>
        <w:t>Actions 5 a</w:t>
      </w:r>
      <w:r>
        <w:rPr>
          <w:rFonts w:ascii="Times New Roman" w:hAnsi="Times New Roman"/>
          <w:sz w:val="20"/>
        </w:rPr>
        <w:t>n</w:t>
      </w:r>
      <w:r w:rsidRPr="00350A8B">
        <w:rPr>
          <w:rFonts w:ascii="Times New Roman" w:hAnsi="Times New Roman"/>
          <w:sz w:val="20"/>
        </w:rPr>
        <w:t>d 6 mentioned under section 6.2.1 "</w:t>
      </w:r>
      <w:r w:rsidR="000975F3">
        <w:rPr>
          <w:rFonts w:ascii="Times New Roman" w:hAnsi="Times New Roman"/>
          <w:sz w:val="20"/>
        </w:rPr>
        <w:t>Training actions" of the AWP2017</w:t>
      </w:r>
      <w:r w:rsidRPr="00350A8B">
        <w:rPr>
          <w:rFonts w:ascii="Times New Roman" w:hAnsi="Times New Roman"/>
          <w:sz w:val="20"/>
        </w:rPr>
        <w:t xml:space="preserve">; the term "topic" replaces the term "specific action" used in the AWP2017. </w:t>
      </w:r>
    </w:p>
  </w:footnote>
  <w:footnote w:id="6">
    <w:p w:rsidR="00A46940" w:rsidRDefault="00A46940" w:rsidP="00D85C10">
      <w:pPr>
        <w:pStyle w:val="FootnoteText"/>
        <w:ind w:left="851" w:hanging="851"/>
      </w:pPr>
      <w:r>
        <w:rPr>
          <w:rStyle w:val="FootnoteReference"/>
        </w:rPr>
        <w:footnoteRef/>
      </w:r>
      <w:r w:rsidRPr="00437B15">
        <w:rPr>
          <w:rStyle w:val="FootnoteReference"/>
        </w:rPr>
        <w:t xml:space="preserve"> </w:t>
      </w:r>
      <w:r>
        <w:tab/>
        <w:t>This specific call is called "Law Training and Studies", replacing the terminology "Legal Training and Studies" used in the AWP2017.</w:t>
      </w:r>
    </w:p>
  </w:footnote>
  <w:footnote w:id="7">
    <w:p w:rsidR="00A46940" w:rsidRPr="00026E85" w:rsidRDefault="00A46940" w:rsidP="00640D4E">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 xml:space="preserve">  </w:t>
      </w:r>
      <w:r>
        <w:tab/>
      </w:r>
      <w:r w:rsidRPr="00026E85">
        <w:rPr>
          <w:rFonts w:ascii="Times New Roman" w:hAnsi="Times New Roman"/>
          <w:sz w:val="20"/>
          <w:lang w:eastAsia="en-US"/>
        </w:rPr>
        <w:t>Commission Decision of 28 April 1999 establishing the European Anti-Fraud Office (OLAF 1999/352/EC/ECSC, Euratom (OJ L 136, 31 May 1999, p.20) as amended by Commission Decision of 27 September 2013, 2013/478/EU (OJ L 257, 28 September 2013, p. 19).</w:t>
      </w:r>
    </w:p>
  </w:footnote>
  <w:footnote w:id="8">
    <w:p w:rsidR="00A46940" w:rsidRPr="00026E85" w:rsidRDefault="00A46940" w:rsidP="007D534C">
      <w:pPr>
        <w:pStyle w:val="footnote0"/>
        <w:tabs>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rsidRPr="007D534C">
        <w:tab/>
      </w:r>
      <w:r>
        <w:rPr>
          <w:szCs w:val="16"/>
        </w:rPr>
        <w:tab/>
      </w:r>
      <w:r w:rsidRPr="00026E85">
        <w:rPr>
          <w:rFonts w:ascii="Times New Roman" w:hAnsi="Times New Roman"/>
          <w:sz w:val="20"/>
          <w:lang w:eastAsia="en-US"/>
        </w:rPr>
        <w:t>Regulation (EU) No 250/2014 of 26 February 2014 of the European Parliament and of the Council establishing a programme to promote activities in the field of the protection of the financial interests of the European Union (“Hercule III” Programme) and repealing Decision No. 804/2004/EC, OJ L 84 of 20 March 2014.</w:t>
      </w:r>
    </w:p>
  </w:footnote>
  <w:footnote w:id="9">
    <w:p w:rsidR="00A46940" w:rsidRPr="00026E85" w:rsidRDefault="00A46940" w:rsidP="00640D4E">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ab/>
      </w:r>
      <w:proofErr w:type="gramStart"/>
      <w:r w:rsidRPr="00026E85">
        <w:rPr>
          <w:rFonts w:ascii="Times New Roman" w:hAnsi="Times New Roman"/>
          <w:sz w:val="20"/>
          <w:lang w:eastAsia="en-US"/>
        </w:rPr>
        <w:t>Article 3 of Regulation (EU) no. 250/2014.</w:t>
      </w:r>
      <w:proofErr w:type="gramEnd"/>
      <w:r w:rsidRPr="00026E85">
        <w:rPr>
          <w:rFonts w:ascii="Times New Roman" w:hAnsi="Times New Roman"/>
          <w:sz w:val="20"/>
          <w:lang w:eastAsia="en-US"/>
        </w:rPr>
        <w:tab/>
      </w:r>
    </w:p>
  </w:footnote>
  <w:footnote w:id="10">
    <w:p w:rsidR="00A46940" w:rsidRPr="00026E85" w:rsidRDefault="00A46940" w:rsidP="00640D4E">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 xml:space="preserve">   </w:t>
      </w:r>
      <w:r>
        <w:tab/>
      </w:r>
      <w:proofErr w:type="gramStart"/>
      <w:r w:rsidRPr="00026E85">
        <w:rPr>
          <w:rFonts w:ascii="Times New Roman" w:hAnsi="Times New Roman"/>
          <w:sz w:val="20"/>
          <w:lang w:eastAsia="en-US"/>
        </w:rPr>
        <w:t>Article 4 of Regulation (EU) no. 250/2014.</w:t>
      </w:r>
      <w:proofErr w:type="gramEnd"/>
    </w:p>
  </w:footnote>
  <w:footnote w:id="11">
    <w:p w:rsidR="00A46940" w:rsidRPr="00DA457D" w:rsidRDefault="00A46940" w:rsidP="000E7D3E">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 xml:space="preserve"> </w:t>
      </w:r>
      <w:r>
        <w:tab/>
      </w:r>
      <w:proofErr w:type="gramStart"/>
      <w:r w:rsidR="00F572B9">
        <w:rPr>
          <w:rFonts w:ascii="Times New Roman" w:hAnsi="Times New Roman"/>
          <w:sz w:val="20"/>
          <w:lang w:eastAsia="en-US"/>
        </w:rPr>
        <w:t>Article 5 of Regulation (EU) N</w:t>
      </w:r>
      <w:r w:rsidRPr="00DA457D">
        <w:rPr>
          <w:rFonts w:ascii="Times New Roman" w:hAnsi="Times New Roman"/>
          <w:sz w:val="20"/>
          <w:lang w:eastAsia="en-US"/>
        </w:rPr>
        <w:t>o. 250/2014.</w:t>
      </w:r>
      <w:proofErr w:type="gramEnd"/>
    </w:p>
  </w:footnote>
  <w:footnote w:id="12">
    <w:p w:rsidR="00A46940" w:rsidRPr="00DA457D" w:rsidRDefault="00A46940" w:rsidP="00C862BC">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ab/>
      </w:r>
      <w:proofErr w:type="gramStart"/>
      <w:r w:rsidRPr="00DA457D">
        <w:rPr>
          <w:rFonts w:ascii="Times New Roman" w:hAnsi="Times New Roman"/>
          <w:sz w:val="20"/>
          <w:lang w:eastAsia="en-US"/>
        </w:rPr>
        <w:t>C(</w:t>
      </w:r>
      <w:proofErr w:type="gramEnd"/>
      <w:r w:rsidRPr="00DA457D">
        <w:rPr>
          <w:rFonts w:ascii="Times New Roman" w:hAnsi="Times New Roman"/>
          <w:sz w:val="20"/>
          <w:lang w:eastAsia="en-US"/>
        </w:rPr>
        <w:t>2017)1120 final of 22 February 2017, Commission Decision of 22 February 2017 concerning the adoption of the work programme for 2017.</w:t>
      </w:r>
    </w:p>
  </w:footnote>
  <w:footnote w:id="13">
    <w:p w:rsidR="00A46940" w:rsidRPr="00DA457D" w:rsidRDefault="00A46940" w:rsidP="00C862BC">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ab/>
      </w:r>
      <w:r w:rsidRPr="00DA457D">
        <w:rPr>
          <w:rFonts w:ascii="Times New Roman" w:hAnsi="Times New Roman"/>
          <w:sz w:val="20"/>
          <w:lang w:eastAsia="en-US"/>
        </w:rPr>
        <w:t>Regulation (EU, Euratom) No 966/2012 of the European Parliament and of the Council of 25 October 2012 on the financial rules applicable to the general budget of the European Union, in particular Title V (Public procurement) and Title VI (Grants)), as</w:t>
      </w:r>
      <w:r w:rsidR="00176B39">
        <w:rPr>
          <w:rFonts w:ascii="Times New Roman" w:hAnsi="Times New Roman"/>
          <w:sz w:val="20"/>
          <w:lang w:eastAsia="en-US"/>
        </w:rPr>
        <w:t xml:space="preserve"> amended by Regulation (EU, Eur</w:t>
      </w:r>
      <w:r w:rsidRPr="00DA457D">
        <w:rPr>
          <w:rFonts w:ascii="Times New Roman" w:hAnsi="Times New Roman"/>
          <w:sz w:val="20"/>
          <w:lang w:eastAsia="en-US"/>
        </w:rPr>
        <w:t>atom) 2015/1929 of 28 October 2015, OJ L 286 of 30 October 2015.</w:t>
      </w:r>
    </w:p>
  </w:footnote>
  <w:footnote w:id="14">
    <w:p w:rsidR="00A46940" w:rsidRPr="00DA457D" w:rsidRDefault="00A46940" w:rsidP="00C862BC">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rsidRPr="00DB5B96">
        <w:rPr>
          <w:color w:val="1F497D" w:themeColor="text2"/>
        </w:rPr>
        <w:tab/>
      </w:r>
      <w:r w:rsidRPr="00DA457D">
        <w:rPr>
          <w:rFonts w:ascii="Times New Roman" w:hAnsi="Times New Roman"/>
          <w:sz w:val="20"/>
          <w:lang w:eastAsia="en-US"/>
        </w:rPr>
        <w:t>Commission Delegated Regulation (EU) No 1268/2012 of 29 October 2012 on the rules of application of regulation (EU, Euratom) No 966/2012 of the European Parliament and of the Council on the financial rules applicable to the general budget of the Union (OJ L 362, 31.12.2012, p.1) as amended by Commission Delegated Regulation 2015/2462 of 30 October 2015.</w:t>
      </w:r>
    </w:p>
  </w:footnote>
  <w:footnote w:id="15">
    <w:p w:rsidR="00A46940" w:rsidRPr="00006815" w:rsidRDefault="00A46940" w:rsidP="00C862BC">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ab/>
      </w:r>
      <w:proofErr w:type="gramStart"/>
      <w:r w:rsidRPr="00006815">
        <w:rPr>
          <w:rFonts w:ascii="Times New Roman" w:hAnsi="Times New Roman"/>
          <w:sz w:val="20"/>
          <w:lang w:eastAsia="en-US"/>
        </w:rPr>
        <w:t>C(</w:t>
      </w:r>
      <w:proofErr w:type="gramEnd"/>
      <w:r w:rsidRPr="00006815">
        <w:rPr>
          <w:rFonts w:ascii="Times New Roman" w:hAnsi="Times New Roman"/>
          <w:sz w:val="20"/>
          <w:lang w:eastAsia="en-US"/>
        </w:rPr>
        <w:t>2017)1120 final of 22 February </w:t>
      </w:r>
      <w:r w:rsidR="00071FA3">
        <w:rPr>
          <w:rFonts w:ascii="Times New Roman" w:hAnsi="Times New Roman"/>
          <w:sz w:val="20"/>
          <w:lang w:eastAsia="en-US"/>
        </w:rPr>
        <w:t>2017, in particular section 6.2</w:t>
      </w:r>
      <w:r w:rsidRPr="00006815">
        <w:rPr>
          <w:rFonts w:ascii="Times New Roman" w:hAnsi="Times New Roman"/>
          <w:sz w:val="20"/>
          <w:lang w:eastAsia="en-US"/>
        </w:rPr>
        <w:t xml:space="preserve"> thereof.</w:t>
      </w:r>
    </w:p>
  </w:footnote>
  <w:footnote w:id="16">
    <w:p w:rsidR="00A46940" w:rsidRPr="00006815" w:rsidRDefault="00A46940" w:rsidP="00C862BC">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tab/>
      </w:r>
      <w:r w:rsidRPr="00006815">
        <w:rPr>
          <w:rFonts w:ascii="Times New Roman" w:hAnsi="Times New Roman"/>
          <w:sz w:val="20"/>
          <w:lang w:eastAsia="en-US"/>
        </w:rPr>
        <w:t>Actions 5 and 6 mentioned under section 6.2.1 "Training actions" of the AWP2017.</w:t>
      </w:r>
    </w:p>
  </w:footnote>
  <w:footnote w:id="17">
    <w:p w:rsidR="00A46940" w:rsidRPr="00006815" w:rsidRDefault="00A46940" w:rsidP="00B769D3">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1D5F05">
        <w:t xml:space="preserve"> </w:t>
      </w:r>
      <w:r w:rsidRPr="001D5F05">
        <w:tab/>
      </w:r>
      <w:proofErr w:type="gramStart"/>
      <w:r w:rsidRPr="00006815">
        <w:rPr>
          <w:rFonts w:ascii="Times New Roman" w:hAnsi="Times New Roman"/>
          <w:sz w:val="20"/>
          <w:lang w:eastAsia="en-US"/>
        </w:rPr>
        <w:t>Article 6 of Regulation 250/2014: "Bodies eligible for funding".</w:t>
      </w:r>
      <w:proofErr w:type="gramEnd"/>
      <w:r w:rsidRPr="00006815">
        <w:rPr>
          <w:rFonts w:ascii="Times New Roman" w:hAnsi="Times New Roman"/>
          <w:sz w:val="20"/>
          <w:lang w:eastAsia="en-US"/>
        </w:rPr>
        <w:t xml:space="preserve"> The conditions for third country participation set out in the Regulation have not been met and that (therefore) only bodies located in Member States are eligible. </w:t>
      </w:r>
    </w:p>
  </w:footnote>
  <w:footnote w:id="18">
    <w:p w:rsidR="00A46940" w:rsidRPr="00006815" w:rsidRDefault="00A46940" w:rsidP="00B769D3">
      <w:pPr>
        <w:pStyle w:val="footnote0"/>
        <w:tabs>
          <w:tab w:val="clear" w:pos="284"/>
          <w:tab w:val="left" w:pos="851"/>
        </w:tabs>
        <w:ind w:left="851" w:hanging="851"/>
        <w:rPr>
          <w:rFonts w:ascii="Times New Roman" w:hAnsi="Times New Roman"/>
          <w:sz w:val="20"/>
          <w:lang w:eastAsia="en-US"/>
        </w:rPr>
      </w:pPr>
      <w:r w:rsidRPr="00437B15">
        <w:rPr>
          <w:rStyle w:val="FootnoteReference"/>
          <w:rFonts w:ascii="Times New Roman" w:hAnsi="Times New Roman"/>
          <w:sz w:val="20"/>
        </w:rPr>
        <w:footnoteRef/>
      </w:r>
      <w:r w:rsidRPr="00437B15">
        <w:rPr>
          <w:rStyle w:val="FootnoteReference"/>
          <w:rFonts w:ascii="Times New Roman" w:hAnsi="Times New Roman"/>
          <w:sz w:val="20"/>
        </w:rPr>
        <w:t xml:space="preserve"> </w:t>
      </w:r>
      <w:r w:rsidRPr="000E4711">
        <w:rPr>
          <w:color w:val="1F497D" w:themeColor="text2"/>
        </w:rPr>
        <w:t xml:space="preserve"> </w:t>
      </w:r>
      <w:r w:rsidRPr="000E4711">
        <w:rPr>
          <w:color w:val="1F497D" w:themeColor="text2"/>
        </w:rPr>
        <w:tab/>
      </w:r>
      <w:r w:rsidRPr="00006815">
        <w:rPr>
          <w:rFonts w:ascii="Times New Roman" w:hAnsi="Times New Roman"/>
          <w:sz w:val="20"/>
          <w:lang w:eastAsia="en-US"/>
        </w:rPr>
        <w:t>Article 7 (2) determines the conditions under which applicants from third countries may submit applications. At this moment, applicants from non-EU countries cannot submit applications.</w:t>
      </w:r>
    </w:p>
  </w:footnote>
  <w:footnote w:id="19">
    <w:p w:rsidR="00A46940" w:rsidRPr="00C51315" w:rsidRDefault="00A46940" w:rsidP="009E500A">
      <w:pPr>
        <w:pStyle w:val="footnote0"/>
        <w:tabs>
          <w:tab w:val="clear" w:pos="284"/>
          <w:tab w:val="left" w:pos="851"/>
        </w:tabs>
        <w:ind w:left="851" w:hanging="851"/>
        <w:jc w:val="left"/>
        <w:rPr>
          <w:rFonts w:ascii="Times New Roman" w:hAnsi="Times New Roman"/>
          <w:sz w:val="20"/>
          <w:lang w:eastAsia="en-US"/>
        </w:rPr>
      </w:pPr>
      <w:r w:rsidRPr="00702F45">
        <w:rPr>
          <w:rStyle w:val="FootnoteReference"/>
          <w:rFonts w:ascii="Times New Roman" w:hAnsi="Times New Roman"/>
          <w:sz w:val="20"/>
        </w:rPr>
        <w:footnoteRef/>
      </w:r>
      <w:r w:rsidRPr="00702F45">
        <w:rPr>
          <w:rStyle w:val="FootnoteReference"/>
          <w:rFonts w:ascii="Times New Roman" w:hAnsi="Times New Roman"/>
          <w:sz w:val="20"/>
        </w:rPr>
        <w:t xml:space="preserve">  </w:t>
      </w:r>
      <w:r>
        <w:tab/>
      </w:r>
      <w:r w:rsidRPr="00C51315">
        <w:rPr>
          <w:rFonts w:ascii="Times New Roman" w:hAnsi="Times New Roman"/>
          <w:sz w:val="20"/>
          <w:lang w:eastAsia="en-US"/>
        </w:rPr>
        <w:t xml:space="preserve">A template for both reports will be annexed to the Grant Agreement. An example of this Agreement can be downloaded from the OLAF' website, see: </w:t>
      </w:r>
      <w:hyperlink r:id="rId1" w:history="1">
        <w:r w:rsidRPr="00681165">
          <w:rPr>
            <w:rStyle w:val="Hyperlink"/>
            <w:rFonts w:ascii="Times New Roman" w:hAnsi="Times New Roman"/>
            <w:sz w:val="20"/>
            <w:lang w:eastAsia="en-US"/>
          </w:rPr>
          <w:t>http://ec.europa.eu/anti_fraud/policy/hercule/index_en.htm</w:t>
        </w:r>
      </w:hyperlink>
      <w:r>
        <w:rPr>
          <w:rFonts w:ascii="Times New Roman" w:hAnsi="Times New Roman"/>
          <w:sz w:val="20"/>
          <w:lang w:eastAsia="en-US"/>
        </w:rPr>
        <w:t xml:space="preserve"> </w:t>
      </w:r>
    </w:p>
  </w:footnote>
  <w:footnote w:id="20">
    <w:p w:rsidR="00A46940" w:rsidRPr="00E771F5" w:rsidRDefault="00A46940" w:rsidP="00B769D3">
      <w:pPr>
        <w:pStyle w:val="footnote0"/>
        <w:tabs>
          <w:tab w:val="clear" w:pos="284"/>
          <w:tab w:val="left" w:pos="851"/>
        </w:tabs>
        <w:ind w:left="851" w:hanging="851"/>
        <w:rPr>
          <w:szCs w:val="16"/>
        </w:rPr>
      </w:pPr>
      <w:r w:rsidRPr="00702F45">
        <w:rPr>
          <w:rStyle w:val="FootnoteReference"/>
          <w:rFonts w:ascii="Times New Roman" w:hAnsi="Times New Roman"/>
          <w:sz w:val="20"/>
        </w:rPr>
        <w:footnoteRef/>
      </w:r>
      <w:r w:rsidRPr="00702F45">
        <w:rPr>
          <w:rStyle w:val="FootnoteReference"/>
          <w:rFonts w:ascii="Times New Roman" w:hAnsi="Times New Roman"/>
          <w:sz w:val="20"/>
        </w:rPr>
        <w:t xml:space="preserve"> </w:t>
      </w:r>
      <w:r w:rsidRPr="00E771F5">
        <w:rPr>
          <w:szCs w:val="16"/>
        </w:rPr>
        <w:tab/>
      </w:r>
      <w:r w:rsidR="008F7999" w:rsidRPr="008F7999">
        <w:rPr>
          <w:rFonts w:ascii="Times New Roman" w:hAnsi="Times New Roman"/>
          <w:sz w:val="20"/>
          <w:lang w:eastAsia="en-US"/>
        </w:rPr>
        <w:t>See: Article 15.4 of the grant agreement.</w:t>
      </w:r>
    </w:p>
  </w:footnote>
  <w:footnote w:id="21">
    <w:p w:rsidR="00A46940" w:rsidRPr="002D6555" w:rsidRDefault="00A46940" w:rsidP="00C20A06">
      <w:pPr>
        <w:pStyle w:val="footnote0"/>
        <w:tabs>
          <w:tab w:val="clear" w:pos="284"/>
          <w:tab w:val="left" w:pos="851"/>
        </w:tabs>
        <w:ind w:left="851" w:hanging="851"/>
        <w:rPr>
          <w:rFonts w:ascii="Times New Roman" w:hAnsi="Times New Roman"/>
          <w:sz w:val="20"/>
          <w:lang w:eastAsia="en-US"/>
        </w:rPr>
      </w:pPr>
      <w:r w:rsidRPr="00702F45">
        <w:rPr>
          <w:rStyle w:val="FootnoteReference"/>
          <w:rFonts w:ascii="Times New Roman" w:hAnsi="Times New Roman"/>
          <w:sz w:val="20"/>
        </w:rPr>
        <w:footnoteRef/>
      </w:r>
      <w:r w:rsidRPr="00702F45">
        <w:rPr>
          <w:rStyle w:val="FootnoteReference"/>
          <w:rFonts w:ascii="Times New Roman" w:hAnsi="Times New Roman"/>
          <w:sz w:val="20"/>
        </w:rPr>
        <w:t xml:space="preserve"> </w:t>
      </w:r>
      <w:r>
        <w:t xml:space="preserve"> </w:t>
      </w:r>
      <w:r>
        <w:tab/>
      </w:r>
      <w:r w:rsidRPr="002D6555">
        <w:rPr>
          <w:rFonts w:ascii="Times New Roman" w:hAnsi="Times New Roman"/>
          <w:sz w:val="20"/>
          <w:lang w:eastAsia="en-US"/>
        </w:rPr>
        <w:t>Article 128 (2) of the Financial Regulation requires the Commissi</w:t>
      </w:r>
      <w:r w:rsidR="00CB6723">
        <w:rPr>
          <w:rFonts w:ascii="Times New Roman" w:hAnsi="Times New Roman"/>
          <w:sz w:val="20"/>
          <w:lang w:eastAsia="en-US"/>
        </w:rPr>
        <w:t xml:space="preserve">on to notify the applicants by </w:t>
      </w:r>
      <w:r w:rsidRPr="002D6555">
        <w:rPr>
          <w:rFonts w:ascii="Times New Roman" w:hAnsi="Times New Roman"/>
          <w:sz w:val="20"/>
          <w:lang w:eastAsia="en-US"/>
        </w:rPr>
        <w:t xml:space="preserve">2 </w:t>
      </w:r>
      <w:r w:rsidR="00CB6723">
        <w:rPr>
          <w:rFonts w:ascii="Times New Roman" w:hAnsi="Times New Roman"/>
          <w:sz w:val="20"/>
          <w:lang w:eastAsia="en-US"/>
        </w:rPr>
        <w:t>February</w:t>
      </w:r>
      <w:r w:rsidRPr="002D6555">
        <w:rPr>
          <w:rFonts w:ascii="Times New Roman" w:hAnsi="Times New Roman"/>
          <w:sz w:val="20"/>
          <w:lang w:eastAsia="en-US"/>
        </w:rPr>
        <w:t xml:space="preserve"> 2018 at the latest on the outcome of the evaluation procedure, unless there is a large number of applications or delays attributable to applicants. Grant</w:t>
      </w:r>
      <w:r w:rsidR="00CB6723">
        <w:rPr>
          <w:rFonts w:ascii="Times New Roman" w:hAnsi="Times New Roman"/>
          <w:sz w:val="20"/>
          <w:lang w:eastAsia="en-US"/>
        </w:rPr>
        <w:t xml:space="preserve"> agreements shall be signed by 2 May</w:t>
      </w:r>
      <w:r w:rsidRPr="002D6555">
        <w:rPr>
          <w:rFonts w:ascii="Times New Roman" w:hAnsi="Times New Roman"/>
          <w:sz w:val="20"/>
          <w:lang w:eastAsia="en-US"/>
        </w:rPr>
        <w:t xml:space="preserve"> 2018 at the very latest.</w:t>
      </w:r>
    </w:p>
  </w:footnote>
  <w:footnote w:id="22">
    <w:p w:rsidR="00A46940" w:rsidRPr="002D6555" w:rsidRDefault="00A46940" w:rsidP="00C20A06">
      <w:pPr>
        <w:pStyle w:val="footnote0"/>
        <w:tabs>
          <w:tab w:val="clear" w:pos="284"/>
          <w:tab w:val="left" w:pos="851"/>
        </w:tabs>
        <w:ind w:left="851" w:hanging="851"/>
        <w:rPr>
          <w:rFonts w:ascii="Times New Roman" w:hAnsi="Times New Roman"/>
          <w:sz w:val="20"/>
          <w:lang w:eastAsia="en-US"/>
        </w:rPr>
      </w:pPr>
      <w:r w:rsidRPr="00702F45">
        <w:rPr>
          <w:rStyle w:val="FootnoteReference"/>
          <w:rFonts w:ascii="Times New Roman" w:hAnsi="Times New Roman"/>
          <w:sz w:val="20"/>
        </w:rPr>
        <w:footnoteRef/>
      </w:r>
      <w:r w:rsidRPr="00702F45">
        <w:rPr>
          <w:rStyle w:val="FootnoteReference"/>
          <w:rFonts w:ascii="Times New Roman" w:hAnsi="Times New Roman"/>
          <w:sz w:val="20"/>
        </w:rPr>
        <w:t xml:space="preserve"> </w:t>
      </w:r>
      <w:r>
        <w:t xml:space="preserve"> </w:t>
      </w:r>
      <w:r>
        <w:tab/>
      </w:r>
      <w:r w:rsidRPr="002D6555">
        <w:rPr>
          <w:rFonts w:ascii="Times New Roman" w:hAnsi="Times New Roman"/>
          <w:sz w:val="20"/>
          <w:lang w:eastAsia="en-US"/>
        </w:rPr>
        <w:t>Applicants may start preparatory activities for the implementation of the action after the notification of the award of the grant. However, applicants cannot make any legal commitment or expenditures in relation to the action outside the eligibility period of the grant agreement.</w:t>
      </w:r>
    </w:p>
  </w:footnote>
  <w:footnote w:id="23">
    <w:p w:rsidR="00A46940" w:rsidRPr="002D6555" w:rsidRDefault="00A46940" w:rsidP="00EB3F36">
      <w:pPr>
        <w:pStyle w:val="FootnoteText"/>
        <w:spacing w:after="0"/>
      </w:pPr>
      <w:r w:rsidRPr="00702F45">
        <w:rPr>
          <w:rStyle w:val="FootnoteReference"/>
        </w:rPr>
        <w:footnoteRef/>
      </w:r>
      <w:r w:rsidRPr="00702F45">
        <w:rPr>
          <w:rStyle w:val="FootnoteReference"/>
        </w:rPr>
        <w:t xml:space="preserve"> </w:t>
      </w:r>
      <w:r>
        <w:rPr>
          <w:rFonts w:ascii="Verdana" w:hAnsi="Verdana"/>
          <w:sz w:val="16"/>
          <w:szCs w:val="16"/>
        </w:rPr>
        <w:tab/>
      </w:r>
      <w:r>
        <w:rPr>
          <w:rFonts w:ascii="Verdana" w:hAnsi="Verdana"/>
          <w:sz w:val="16"/>
          <w:szCs w:val="16"/>
        </w:rPr>
        <w:tab/>
        <w:t xml:space="preserve">  </w:t>
      </w:r>
      <w:r w:rsidRPr="002D6555">
        <w:t>The end date of the action will be stipulated in the grant agreement, but the action shall not take</w:t>
      </w:r>
    </w:p>
    <w:p w:rsidR="00A46940" w:rsidRPr="008D126B" w:rsidRDefault="0080606B" w:rsidP="0023360A">
      <w:pPr>
        <w:pStyle w:val="FootnoteText"/>
        <w:spacing w:after="0"/>
        <w:ind w:left="851" w:hanging="851"/>
        <w:rPr>
          <w:rFonts w:ascii="Verdana" w:hAnsi="Verdana"/>
          <w:sz w:val="16"/>
          <w:szCs w:val="16"/>
        </w:rPr>
      </w:pPr>
      <w:r>
        <w:t xml:space="preserve">  </w:t>
      </w:r>
      <w:r>
        <w:tab/>
      </w:r>
      <w:r w:rsidR="00EB4BD0">
        <w:t>more than 12</w:t>
      </w:r>
      <w:r w:rsidR="00A46940" w:rsidRPr="002D6555">
        <w:t xml:space="preserve"> months for a conference and 18 months for a comparative law study.</w:t>
      </w:r>
      <w:r w:rsidR="00A46940">
        <w:rPr>
          <w:rFonts w:ascii="Verdana" w:hAnsi="Verdana"/>
          <w:sz w:val="16"/>
          <w:szCs w:val="16"/>
        </w:rPr>
        <w:tab/>
      </w:r>
    </w:p>
  </w:footnote>
  <w:footnote w:id="24">
    <w:p w:rsidR="00A46940" w:rsidRDefault="00A46940" w:rsidP="006D7101">
      <w:pPr>
        <w:pStyle w:val="FootnoteText"/>
        <w:spacing w:after="0"/>
      </w:pPr>
      <w:r>
        <w:rPr>
          <w:rStyle w:val="FootnoteReference"/>
        </w:rPr>
        <w:footnoteRef/>
      </w:r>
      <w:r w:rsidRPr="00702F45">
        <w:rPr>
          <w:rStyle w:val="FootnoteReference"/>
        </w:rPr>
        <w:t xml:space="preserve"> </w:t>
      </w:r>
      <w:r>
        <w:tab/>
      </w:r>
      <w:r>
        <w:tab/>
      </w:r>
      <w:r w:rsidRPr="008C374A">
        <w:t>See section 5.1 (a) of the AWP2017.</w:t>
      </w:r>
    </w:p>
  </w:footnote>
  <w:footnote w:id="25">
    <w:p w:rsidR="00A46940" w:rsidRDefault="00A46940" w:rsidP="006D7101">
      <w:pPr>
        <w:pStyle w:val="FootnoteText"/>
        <w:spacing w:after="0"/>
        <w:ind w:left="720" w:hanging="720"/>
      </w:pPr>
      <w:r>
        <w:rPr>
          <w:rStyle w:val="FootnoteReference"/>
        </w:rPr>
        <w:footnoteRef/>
      </w:r>
      <w:r w:rsidRPr="00702F45">
        <w:rPr>
          <w:rStyle w:val="FootnoteReference"/>
        </w:rPr>
        <w:t xml:space="preserve"> </w:t>
      </w:r>
      <w:r>
        <w:tab/>
        <w:t>Applicants are strongly recommended to submit their application before this date to avoid any last-minute bottlenecks: after closure of the deadline, it is no longer possible to submit an application.</w:t>
      </w:r>
    </w:p>
  </w:footnote>
  <w:footnote w:id="26">
    <w:p w:rsidR="00A46940" w:rsidRPr="000B4C54" w:rsidRDefault="00A46940" w:rsidP="000B4C54">
      <w:pPr>
        <w:pStyle w:val="footnote0"/>
        <w:tabs>
          <w:tab w:val="clear" w:pos="284"/>
          <w:tab w:val="left" w:pos="709"/>
        </w:tabs>
        <w:ind w:left="851" w:hanging="851"/>
        <w:rPr>
          <w:rFonts w:ascii="Times New Roman" w:hAnsi="Times New Roman"/>
          <w:sz w:val="20"/>
          <w:lang w:eastAsia="en-US"/>
        </w:rPr>
      </w:pPr>
      <w:r w:rsidRPr="000B4C54">
        <w:rPr>
          <w:rStyle w:val="FootnoteReference"/>
          <w:rFonts w:ascii="Times New Roman" w:hAnsi="Times New Roman"/>
          <w:sz w:val="20"/>
        </w:rPr>
        <w:footnoteRef/>
      </w:r>
      <w:r w:rsidRPr="000B4C54">
        <w:rPr>
          <w:rStyle w:val="FootnoteReference"/>
          <w:rFonts w:ascii="Times New Roman" w:hAnsi="Times New Roman"/>
          <w:sz w:val="20"/>
        </w:rPr>
        <w:t xml:space="preserve"> </w:t>
      </w:r>
      <w:r>
        <w:rPr>
          <w:color w:val="1F497D" w:themeColor="text2"/>
        </w:rPr>
        <w:tab/>
      </w:r>
      <w:r w:rsidRPr="000B4C54">
        <w:rPr>
          <w:rFonts w:ascii="Times New Roman" w:hAnsi="Times New Roman"/>
          <w:sz w:val="20"/>
          <w:lang w:eastAsia="en-US"/>
        </w:rPr>
        <w:t>See section 5.1 (b) of the AWP2017.</w:t>
      </w:r>
    </w:p>
  </w:footnote>
  <w:footnote w:id="27">
    <w:p w:rsidR="00A46940" w:rsidRPr="000C249F" w:rsidRDefault="00A46940" w:rsidP="000B4C54">
      <w:pPr>
        <w:pStyle w:val="FootnoteText"/>
        <w:spacing w:after="0"/>
        <w:ind w:left="709" w:hanging="709"/>
      </w:pPr>
      <w:r>
        <w:rPr>
          <w:rStyle w:val="FootnoteReference"/>
        </w:rPr>
        <w:footnoteRef/>
      </w:r>
      <w:r w:rsidRPr="00702F45">
        <w:rPr>
          <w:rStyle w:val="FootnoteReference"/>
        </w:rPr>
        <w:t xml:space="preserve"> </w:t>
      </w:r>
      <w:r>
        <w:tab/>
      </w:r>
      <w:r>
        <w:tab/>
        <w:t>Professional misconduct includes: violation of ethical standards of th</w:t>
      </w:r>
      <w:r w:rsidR="00702F45">
        <w:t xml:space="preserve">e profession, wrongful conduct </w:t>
      </w:r>
      <w:r>
        <w:t>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 w:id="28">
    <w:p w:rsidR="00A46940" w:rsidRPr="00556620" w:rsidRDefault="00A46940" w:rsidP="000B4C54">
      <w:pPr>
        <w:pStyle w:val="footnote0"/>
        <w:tabs>
          <w:tab w:val="clear" w:pos="284"/>
          <w:tab w:val="left" w:pos="709"/>
        </w:tabs>
        <w:ind w:left="851" w:hanging="851"/>
      </w:pPr>
      <w:r w:rsidRPr="00702F45">
        <w:rPr>
          <w:rStyle w:val="FootnoteReference"/>
          <w:rFonts w:ascii="Times New Roman" w:hAnsi="Times New Roman"/>
          <w:sz w:val="20"/>
        </w:rPr>
        <w:footnoteRef/>
      </w:r>
      <w:r w:rsidRPr="00702F45">
        <w:rPr>
          <w:rStyle w:val="FootnoteReference"/>
          <w:rFonts w:ascii="Times New Roman" w:hAnsi="Times New Roman"/>
          <w:sz w:val="20"/>
        </w:rPr>
        <w:t xml:space="preserve"> </w:t>
      </w:r>
      <w:r w:rsidRPr="00556620">
        <w:tab/>
      </w:r>
      <w:r w:rsidRPr="005B4F4E">
        <w:rPr>
          <w:rFonts w:ascii="Times New Roman" w:hAnsi="Times New Roman"/>
          <w:sz w:val="20"/>
          <w:lang w:eastAsia="en-US"/>
        </w:rPr>
        <w:t>See section 5.1 (c) of the AWP2017.</w:t>
      </w:r>
    </w:p>
  </w:footnote>
  <w:footnote w:id="29">
    <w:p w:rsidR="00A46940" w:rsidRPr="00D70056" w:rsidRDefault="00A46940" w:rsidP="002D601D">
      <w:pPr>
        <w:pStyle w:val="footnote0"/>
        <w:tabs>
          <w:tab w:val="clear" w:pos="284"/>
          <w:tab w:val="left" w:pos="851"/>
        </w:tabs>
        <w:ind w:left="851" w:hanging="851"/>
      </w:pPr>
      <w:r w:rsidRPr="00702F45">
        <w:rPr>
          <w:rStyle w:val="FootnoteReference"/>
          <w:rFonts w:ascii="Times New Roman" w:hAnsi="Times New Roman"/>
          <w:sz w:val="20"/>
        </w:rPr>
        <w:footnoteRef/>
      </w:r>
      <w:r w:rsidRPr="00702F45">
        <w:rPr>
          <w:rStyle w:val="FootnoteReference"/>
          <w:rFonts w:ascii="Times New Roman" w:hAnsi="Times New Roman"/>
          <w:sz w:val="20"/>
        </w:rPr>
        <w:t xml:space="preserve"> </w:t>
      </w:r>
      <w:r>
        <w:t xml:space="preserve">  </w:t>
      </w:r>
      <w:r>
        <w:tab/>
      </w:r>
      <w:r w:rsidRPr="00E3414A">
        <w:rPr>
          <w:rFonts w:ascii="Times New Roman" w:hAnsi="Times New Roman"/>
          <w:sz w:val="20"/>
          <w:lang w:eastAsia="en-US"/>
        </w:rPr>
        <w:t>See section 5.1 (d) of the AWP2017.</w:t>
      </w:r>
    </w:p>
  </w:footnote>
  <w:footnote w:id="30">
    <w:p w:rsidR="00A46940" w:rsidRPr="006229CC" w:rsidRDefault="00A46940" w:rsidP="00497903">
      <w:pPr>
        <w:pStyle w:val="FootnoteText"/>
        <w:spacing w:after="0"/>
        <w:rPr>
          <w:color w:val="1F497D" w:themeColor="text2"/>
        </w:rPr>
      </w:pPr>
      <w:r>
        <w:rPr>
          <w:rStyle w:val="FootnoteReference"/>
        </w:rPr>
        <w:footnoteRef/>
      </w:r>
      <w:r w:rsidRPr="00702F45">
        <w:rPr>
          <w:rStyle w:val="FootnoteReference"/>
        </w:rPr>
        <w:t xml:space="preserve"> </w:t>
      </w:r>
      <w:r>
        <w:tab/>
      </w:r>
      <w:r>
        <w:tab/>
        <w:t xml:space="preserve">  </w:t>
      </w:r>
      <w:r w:rsidRPr="00E219C7">
        <w:t>The aggregated scores of the evaluators divided by the number of evaluators.</w:t>
      </w:r>
    </w:p>
  </w:footnote>
  <w:footnote w:id="31">
    <w:p w:rsidR="00A46940" w:rsidRPr="00A42FC3" w:rsidRDefault="00A46940" w:rsidP="00497903">
      <w:pPr>
        <w:pStyle w:val="footnote0"/>
        <w:tabs>
          <w:tab w:val="clear" w:pos="284"/>
          <w:tab w:val="left" w:pos="851"/>
        </w:tabs>
        <w:ind w:left="851" w:hanging="851"/>
      </w:pPr>
      <w:r w:rsidRPr="00702F45">
        <w:rPr>
          <w:rStyle w:val="FootnoteReference"/>
          <w:rFonts w:ascii="Times New Roman" w:hAnsi="Times New Roman"/>
          <w:sz w:val="20"/>
        </w:rPr>
        <w:footnoteRef/>
      </w:r>
      <w:r w:rsidRPr="00A42FC3">
        <w:t xml:space="preserve"> </w:t>
      </w:r>
      <w:r w:rsidRPr="00A42FC3">
        <w:tab/>
      </w:r>
      <w:proofErr w:type="gramStart"/>
      <w:r w:rsidRPr="00E219C7">
        <w:rPr>
          <w:rFonts w:ascii="Times New Roman" w:hAnsi="Times New Roman"/>
          <w:sz w:val="20"/>
          <w:lang w:eastAsia="en-US"/>
        </w:rPr>
        <w:t>Article 10 (4) of Regulation (EU) No. 250/2014.</w:t>
      </w:r>
      <w:proofErr w:type="gramEnd"/>
    </w:p>
  </w:footnote>
  <w:footnote w:id="32">
    <w:p w:rsidR="00A46940" w:rsidRPr="0019407B" w:rsidRDefault="00A46940" w:rsidP="00497903">
      <w:pPr>
        <w:pStyle w:val="footnote0"/>
        <w:tabs>
          <w:tab w:val="clear" w:pos="284"/>
          <w:tab w:val="left" w:pos="851"/>
        </w:tabs>
        <w:ind w:left="851" w:hanging="851"/>
      </w:pPr>
      <w:r w:rsidRPr="00702F45">
        <w:rPr>
          <w:rStyle w:val="FootnoteReference"/>
          <w:rFonts w:ascii="Times New Roman" w:hAnsi="Times New Roman"/>
          <w:sz w:val="20"/>
        </w:rPr>
        <w:footnoteRef/>
      </w:r>
      <w:r w:rsidRPr="00702F45">
        <w:rPr>
          <w:rStyle w:val="FootnoteReference"/>
          <w:rFonts w:ascii="Times New Roman" w:hAnsi="Times New Roman"/>
          <w:sz w:val="20"/>
        </w:rPr>
        <w:t xml:space="preserve"> </w:t>
      </w:r>
      <w:r>
        <w:tab/>
      </w:r>
      <w:proofErr w:type="gramStart"/>
      <w:r w:rsidRPr="00E219C7">
        <w:rPr>
          <w:rFonts w:ascii="Times New Roman" w:hAnsi="Times New Roman"/>
          <w:sz w:val="20"/>
          <w:lang w:eastAsia="en-US"/>
        </w:rPr>
        <w:t>C(</w:t>
      </w:r>
      <w:proofErr w:type="gramEnd"/>
      <w:r w:rsidRPr="00E219C7">
        <w:rPr>
          <w:rFonts w:ascii="Times New Roman" w:hAnsi="Times New Roman"/>
          <w:sz w:val="20"/>
          <w:lang w:eastAsia="en-US"/>
        </w:rPr>
        <w:t>2017)1120 final of 22 February 2017, section 6.2.4.</w:t>
      </w:r>
    </w:p>
  </w:footnote>
  <w:footnote w:id="33">
    <w:p w:rsidR="00A46940" w:rsidRPr="00702F45" w:rsidRDefault="00A46940" w:rsidP="00E219C7">
      <w:pPr>
        <w:pStyle w:val="FootnoteText"/>
        <w:spacing w:after="0"/>
        <w:ind w:left="851" w:hanging="851"/>
        <w:rPr>
          <w:rStyle w:val="FootnoteReference"/>
        </w:rPr>
      </w:pPr>
      <w:r>
        <w:rPr>
          <w:rStyle w:val="FootnoteReference"/>
        </w:rPr>
        <w:footnoteRef/>
      </w:r>
      <w:r w:rsidRPr="00702F45">
        <w:rPr>
          <w:rStyle w:val="FootnoteReference"/>
        </w:rPr>
        <w:t xml:space="preserve"> </w:t>
      </w:r>
      <w:r>
        <w:tab/>
      </w:r>
      <w:hyperlink r:id="rId2" w:history="1">
        <w:r w:rsidRPr="005C548B">
          <w:rPr>
            <w:rStyle w:val="Hyperlink"/>
            <w:sz w:val="16"/>
            <w:szCs w:val="16"/>
          </w:rPr>
          <w:t>https://digit-efp-ppe.cc.cec.eu.int/acc/research/participants/portal/desktop/en/opportunities/herc/index.html</w:t>
        </w:r>
      </w:hyperlink>
      <w:r w:rsidR="00702F45">
        <w:rPr>
          <w:rStyle w:val="FootnoteReference"/>
          <w:sz w:val="16"/>
          <w:szCs w:val="16"/>
          <w:vertAlign w:val="baseline"/>
        </w:rPr>
        <w:t xml:space="preserve"> </w:t>
      </w:r>
      <w:r w:rsidRPr="00702F45">
        <w:rPr>
          <w:rStyle w:val="FootnoteReference"/>
        </w:rPr>
        <w:t xml:space="preserve"> </w:t>
      </w:r>
    </w:p>
  </w:footnote>
  <w:footnote w:id="34">
    <w:p w:rsidR="00A46940" w:rsidRPr="00702F45" w:rsidRDefault="00A46940" w:rsidP="00E219C7">
      <w:pPr>
        <w:pStyle w:val="FootnoteText"/>
        <w:spacing w:after="0"/>
        <w:ind w:left="851" w:hanging="851"/>
        <w:rPr>
          <w:rStyle w:val="FootnoteReference"/>
        </w:rPr>
      </w:pPr>
      <w:r>
        <w:rPr>
          <w:rStyle w:val="FootnoteReference"/>
        </w:rPr>
        <w:footnoteRef/>
      </w:r>
      <w:r w:rsidRPr="00702F45">
        <w:rPr>
          <w:rStyle w:val="FootnoteReference"/>
        </w:rPr>
        <w:t xml:space="preserve"> </w:t>
      </w:r>
      <w:r w:rsidRPr="00702F45">
        <w:rPr>
          <w:rStyle w:val="FootnoteReference"/>
        </w:rPr>
        <w:tab/>
      </w:r>
      <w:r w:rsidRPr="00702F45">
        <w:rPr>
          <w:rStyle w:val="FootnoteReference"/>
          <w:vertAlign w:val="baseline"/>
        </w:rPr>
        <w:t xml:space="preserve">See: </w:t>
      </w:r>
      <w:hyperlink r:id="rId3" w:history="1">
        <w:r w:rsidRPr="005C548B">
          <w:rPr>
            <w:rStyle w:val="Hyperlink"/>
          </w:rPr>
          <w:t>http://ec.europa.eu/research/participants/portal/desktop/en/home.html</w:t>
        </w:r>
      </w:hyperlink>
      <w:r w:rsidRPr="00702F45">
        <w:rPr>
          <w:rStyle w:val="FootnoteReference"/>
          <w:vertAlign w:val="baseline"/>
        </w:rPr>
        <w:t xml:space="preserve"> and:</w:t>
      </w:r>
    </w:p>
    <w:p w:rsidR="00A46940" w:rsidRDefault="00D53FEF" w:rsidP="00E219C7">
      <w:pPr>
        <w:pStyle w:val="FootnoteText"/>
        <w:spacing w:after="0"/>
        <w:ind w:firstLine="494"/>
      </w:pPr>
      <w:hyperlink r:id="rId4" w:history="1">
        <w:r w:rsidR="00A46940" w:rsidRPr="00CD3BF9">
          <w:rPr>
            <w:rStyle w:val="Hyperlink"/>
          </w:rPr>
          <w:t>http://ec.europa.eu/research/participants/portal/desktop/en/opportunities/herc/index.html</w:t>
        </w:r>
      </w:hyperlink>
      <w:r w:rsidR="00A46940">
        <w:t xml:space="preserve"> </w:t>
      </w:r>
    </w:p>
  </w:footnote>
  <w:footnote w:id="35">
    <w:p w:rsidR="00A46940" w:rsidRDefault="00A46940" w:rsidP="00B44794">
      <w:pPr>
        <w:pStyle w:val="FootnoteText"/>
        <w:spacing w:after="0"/>
        <w:ind w:left="851" w:hanging="851"/>
      </w:pPr>
      <w:r>
        <w:rPr>
          <w:rStyle w:val="FootnoteReference"/>
        </w:rPr>
        <w:footnoteRef/>
      </w:r>
      <w:r w:rsidRPr="00163F40">
        <w:rPr>
          <w:rStyle w:val="FootnoteReference"/>
        </w:rPr>
        <w:t xml:space="preserve"> </w:t>
      </w:r>
      <w:r>
        <w:tab/>
      </w:r>
      <w:r w:rsidRPr="00EA77F8">
        <w:t xml:space="preserve">Part B of the </w:t>
      </w:r>
      <w:r w:rsidR="00FB57B8">
        <w:t>application form</w:t>
      </w:r>
      <w:r w:rsidRPr="00EA77F8">
        <w:t xml:space="preserve"> can be downloaded from the </w:t>
      </w:r>
      <w:r w:rsidR="00FB57B8">
        <w:t>Participant Portal</w:t>
      </w:r>
      <w:r w:rsidRPr="00EA77F8">
        <w:t xml:space="preserve">. </w:t>
      </w:r>
    </w:p>
  </w:footnote>
  <w:footnote w:id="36">
    <w:p w:rsidR="00A46940" w:rsidRDefault="00A46940" w:rsidP="0047041B">
      <w:pPr>
        <w:pStyle w:val="FootnoteText"/>
        <w:spacing w:after="0"/>
        <w:ind w:left="851" w:hanging="851"/>
      </w:pPr>
      <w:r>
        <w:rPr>
          <w:rStyle w:val="FootnoteReference"/>
        </w:rPr>
        <w:footnoteRef/>
      </w:r>
      <w:r w:rsidRPr="00163F40">
        <w:rPr>
          <w:rStyle w:val="FootnoteReference"/>
        </w:rPr>
        <w:t xml:space="preserve"> </w:t>
      </w:r>
      <w:r w:rsidR="00F36B09">
        <w:tab/>
      </w:r>
      <w:r w:rsidRPr="00592374">
        <w:t xml:space="preserve">The template is given in a spreadsheet file that can be downloaded from the </w:t>
      </w:r>
      <w:r w:rsidR="00FB57B8">
        <w:t>Participant Portal</w:t>
      </w:r>
      <w:r w:rsidRPr="00592374">
        <w:t>.</w:t>
      </w:r>
    </w:p>
  </w:footnote>
  <w:footnote w:id="37">
    <w:p w:rsidR="00A46940" w:rsidRDefault="00A46940" w:rsidP="0047041B">
      <w:pPr>
        <w:pStyle w:val="FootnoteText"/>
        <w:ind w:left="851" w:hanging="851"/>
      </w:pPr>
      <w:r>
        <w:rPr>
          <w:rStyle w:val="FootnoteReference"/>
        </w:rPr>
        <w:footnoteRef/>
      </w:r>
      <w:r w:rsidRPr="00163F40">
        <w:rPr>
          <w:rStyle w:val="FootnoteReference"/>
        </w:rPr>
        <w:t xml:space="preserve"> </w:t>
      </w:r>
      <w:r w:rsidR="0047041B">
        <w:tab/>
      </w:r>
      <w:r w:rsidRPr="001C35EE">
        <w:t>If the applicant does not confirm its interest within 5 working days, the Commission will assume that the applicant is no longer interested in receiving a grant.</w:t>
      </w:r>
    </w:p>
  </w:footnote>
  <w:footnote w:id="38">
    <w:p w:rsidR="00A46940" w:rsidRPr="000217B7" w:rsidRDefault="00A46940" w:rsidP="008821E6">
      <w:pPr>
        <w:pStyle w:val="footnote0"/>
        <w:tabs>
          <w:tab w:val="clear" w:pos="284"/>
          <w:tab w:val="left" w:pos="851"/>
        </w:tabs>
        <w:ind w:left="851" w:hanging="851"/>
        <w:rPr>
          <w:rFonts w:ascii="Times New Roman" w:hAnsi="Times New Roman"/>
          <w:sz w:val="20"/>
        </w:rPr>
      </w:pPr>
      <w:r w:rsidRPr="00163F40">
        <w:rPr>
          <w:rStyle w:val="FootnoteReference"/>
          <w:rFonts w:ascii="Times New Roman" w:hAnsi="Times New Roman"/>
          <w:sz w:val="20"/>
        </w:rPr>
        <w:footnoteRef/>
      </w:r>
      <w:r w:rsidRPr="00163F40">
        <w:rPr>
          <w:rStyle w:val="FootnoteReference"/>
          <w:rFonts w:ascii="Times New Roman" w:hAnsi="Times New Roman"/>
          <w:sz w:val="20"/>
        </w:rPr>
        <w:t xml:space="preserve"> </w:t>
      </w:r>
      <w:r w:rsidRPr="00DF058D">
        <w:tab/>
      </w:r>
      <w:proofErr w:type="gramStart"/>
      <w:r w:rsidRPr="000217B7">
        <w:rPr>
          <w:rFonts w:ascii="Times New Roman" w:hAnsi="Times New Roman"/>
          <w:sz w:val="20"/>
        </w:rPr>
        <w:t>Article 125 FR</w:t>
      </w:r>
      <w:r>
        <w:rPr>
          <w:rFonts w:ascii="Times New Roman" w:hAnsi="Times New Roman"/>
          <w:sz w:val="20"/>
        </w:rPr>
        <w:t>.</w:t>
      </w:r>
      <w:proofErr w:type="gramEnd"/>
    </w:p>
  </w:footnote>
  <w:footnote w:id="39">
    <w:p w:rsidR="00A46940" w:rsidRPr="00C62E9F" w:rsidRDefault="00A46940" w:rsidP="008821E6">
      <w:pPr>
        <w:pStyle w:val="footnote0"/>
        <w:tabs>
          <w:tab w:val="clear" w:pos="284"/>
          <w:tab w:val="left" w:pos="851"/>
        </w:tabs>
        <w:ind w:left="851" w:hanging="851"/>
      </w:pPr>
      <w:r w:rsidRPr="00163F40">
        <w:rPr>
          <w:rStyle w:val="FootnoteReference"/>
          <w:rFonts w:ascii="Times New Roman" w:hAnsi="Times New Roman"/>
          <w:sz w:val="20"/>
        </w:rPr>
        <w:footnoteRef/>
      </w:r>
      <w:r w:rsidRPr="00163F40">
        <w:rPr>
          <w:rStyle w:val="FootnoteReference"/>
          <w:rFonts w:ascii="Times New Roman" w:hAnsi="Times New Roman"/>
          <w:sz w:val="20"/>
        </w:rPr>
        <w:t xml:space="preserve">  </w:t>
      </w:r>
      <w:r>
        <w:tab/>
      </w:r>
      <w:r w:rsidRPr="003F0427">
        <w:rPr>
          <w:rFonts w:ascii="Times New Roman" w:hAnsi="Times New Roman"/>
          <w:sz w:val="20"/>
        </w:rPr>
        <w:t xml:space="preserve">The Court of Auditors shall have the same rights as OLAF, notably right of access to sites and premises         where the action is carried out and to all the information, including information </w:t>
      </w:r>
      <w:r w:rsidR="007A6070" w:rsidRPr="003F0427">
        <w:rPr>
          <w:rFonts w:ascii="Times New Roman" w:hAnsi="Times New Roman"/>
          <w:sz w:val="20"/>
        </w:rPr>
        <w:t>in electronic</w:t>
      </w:r>
      <w:r w:rsidRPr="003F0427">
        <w:rPr>
          <w:rFonts w:ascii="Times New Roman" w:hAnsi="Times New Roman"/>
          <w:sz w:val="20"/>
        </w:rPr>
        <w:t xml:space="preserve"> format, needed in order to conduct checks and audits.</w:t>
      </w:r>
    </w:p>
  </w:footnote>
  <w:footnote w:id="40">
    <w:p w:rsidR="00A46940" w:rsidRPr="003725EA" w:rsidRDefault="00A46940" w:rsidP="008821E6">
      <w:pPr>
        <w:pStyle w:val="footnote0"/>
        <w:tabs>
          <w:tab w:val="clear" w:pos="284"/>
          <w:tab w:val="left" w:pos="851"/>
        </w:tabs>
        <w:ind w:left="851" w:hanging="851"/>
        <w:rPr>
          <w:szCs w:val="16"/>
        </w:rPr>
      </w:pPr>
      <w:r w:rsidRPr="00163F40">
        <w:rPr>
          <w:rStyle w:val="FootnoteReference"/>
          <w:rFonts w:ascii="Times New Roman" w:hAnsi="Times New Roman"/>
          <w:sz w:val="20"/>
        </w:rPr>
        <w:footnoteRef/>
      </w:r>
      <w:r w:rsidRPr="00163F40">
        <w:rPr>
          <w:rStyle w:val="FootnoteReference"/>
          <w:rFonts w:ascii="Times New Roman" w:hAnsi="Times New Roman"/>
          <w:sz w:val="20"/>
        </w:rPr>
        <w:t xml:space="preserve"> </w:t>
      </w:r>
      <w:r>
        <w:rPr>
          <w:szCs w:val="16"/>
        </w:rPr>
        <w:t xml:space="preserve"> </w:t>
      </w:r>
      <w:r>
        <w:rPr>
          <w:szCs w:val="16"/>
        </w:rPr>
        <w:tab/>
      </w:r>
      <w:hyperlink r:id="rId5" w:history="1">
        <w:r w:rsidRPr="003F0427">
          <w:rPr>
            <w:rStyle w:val="Hyperlink"/>
            <w:rFonts w:ascii="Times New Roman" w:hAnsi="Times New Roman"/>
            <w:sz w:val="20"/>
          </w:rPr>
          <w:t>http://ec.europa.eu/contracts_grants/beneficiaries_en.htm</w:t>
        </w:r>
      </w:hyperlink>
      <w:r w:rsidRPr="003F0427">
        <w:rPr>
          <w:rFonts w:ascii="Times New Roman" w:hAnsi="Times New Roman"/>
          <w:sz w:val="20"/>
        </w:rPr>
        <w:t>,</w:t>
      </w:r>
    </w:p>
    <w:p w:rsidR="00A46940" w:rsidRPr="003F0427" w:rsidRDefault="00A46940" w:rsidP="008821E6">
      <w:pPr>
        <w:pStyle w:val="footnote0"/>
        <w:tabs>
          <w:tab w:val="clear" w:pos="284"/>
          <w:tab w:val="left" w:pos="851"/>
        </w:tabs>
        <w:ind w:left="851" w:hanging="851"/>
        <w:rPr>
          <w:rFonts w:ascii="Times New Roman" w:hAnsi="Times New Roman"/>
          <w:sz w:val="20"/>
        </w:rPr>
      </w:pPr>
      <w:r w:rsidRPr="00693F0D">
        <w:rPr>
          <w:szCs w:val="16"/>
        </w:rPr>
        <w:t xml:space="preserve">    </w:t>
      </w:r>
      <w:r>
        <w:rPr>
          <w:szCs w:val="16"/>
        </w:rPr>
        <w:tab/>
      </w:r>
      <w:r w:rsidRPr="003F0427">
        <w:rPr>
          <w:rFonts w:ascii="Times New Roman" w:hAnsi="Times New Roman"/>
          <w:sz w:val="20"/>
        </w:rPr>
        <w:t xml:space="preserve">and: </w:t>
      </w:r>
      <w:hyperlink r:id="rId6" w:history="1">
        <w:r w:rsidRPr="003F0427">
          <w:rPr>
            <w:rStyle w:val="Hyperlink"/>
            <w:rFonts w:ascii="Times New Roman" w:hAnsi="Times New Roman"/>
            <w:sz w:val="20"/>
          </w:rPr>
          <w:t>http://ec.europa.eu/budget/fts/index_en.htm</w:t>
        </w:r>
      </w:hyperlink>
      <w:r w:rsidRPr="003F0427">
        <w:rPr>
          <w:rFonts w:ascii="Times New Roman" w:hAnsi="Times New Roman"/>
          <w:sz w:val="20"/>
        </w:rPr>
        <w:t>.</w:t>
      </w:r>
    </w:p>
  </w:footnote>
  <w:footnote w:id="41">
    <w:p w:rsidR="00A46940" w:rsidRPr="00C82D69" w:rsidRDefault="00A46940" w:rsidP="008821E6">
      <w:pPr>
        <w:pStyle w:val="footnote0"/>
        <w:tabs>
          <w:tab w:val="clear" w:pos="284"/>
          <w:tab w:val="left" w:pos="851"/>
        </w:tabs>
        <w:ind w:left="851" w:hanging="851"/>
      </w:pPr>
      <w:r w:rsidRPr="00163F40">
        <w:rPr>
          <w:rStyle w:val="FootnoteReference"/>
          <w:rFonts w:ascii="Times New Roman" w:hAnsi="Times New Roman"/>
          <w:sz w:val="20"/>
        </w:rPr>
        <w:footnoteRef/>
      </w:r>
      <w:r w:rsidRPr="00C82D69">
        <w:t xml:space="preserve"> </w:t>
      </w:r>
      <w:r w:rsidRPr="00C82D69">
        <w:tab/>
      </w:r>
      <w:r w:rsidRPr="003F0427">
        <w:rPr>
          <w:rFonts w:ascii="Times New Roman" w:hAnsi="Times New Roman"/>
          <w:sz w:val="20"/>
        </w:rPr>
        <w:t>Art. 128(3) FR, 191(1) RAP.</w:t>
      </w:r>
    </w:p>
  </w:footnote>
  <w:footnote w:id="42">
    <w:p w:rsidR="00A46940" w:rsidRPr="00D4220F" w:rsidRDefault="00A46940" w:rsidP="008821E6">
      <w:pPr>
        <w:pStyle w:val="footnote0"/>
        <w:tabs>
          <w:tab w:val="clear" w:pos="284"/>
          <w:tab w:val="left" w:pos="851"/>
        </w:tabs>
        <w:ind w:left="851" w:hanging="851"/>
        <w:rPr>
          <w:szCs w:val="16"/>
        </w:rPr>
      </w:pPr>
      <w:r w:rsidRPr="00163F40">
        <w:rPr>
          <w:rStyle w:val="FootnoteReference"/>
          <w:rFonts w:ascii="Times New Roman" w:hAnsi="Times New Roman"/>
          <w:sz w:val="20"/>
        </w:rPr>
        <w:footnoteRef/>
      </w:r>
      <w:r w:rsidRPr="00163F40">
        <w:rPr>
          <w:rStyle w:val="FootnoteReference"/>
          <w:rFonts w:ascii="Times New Roman" w:hAnsi="Times New Roman"/>
          <w:sz w:val="20"/>
        </w:rPr>
        <w:t xml:space="preserve"> </w:t>
      </w:r>
      <w:r w:rsidRPr="00D4220F">
        <w:rPr>
          <w:szCs w:val="16"/>
        </w:rPr>
        <w:t xml:space="preserve"> </w:t>
      </w:r>
      <w:r>
        <w:rPr>
          <w:szCs w:val="16"/>
        </w:rPr>
        <w:tab/>
      </w:r>
      <w:proofErr w:type="gramStart"/>
      <w:r w:rsidRPr="003F0427">
        <w:rPr>
          <w:rFonts w:ascii="Times New Roman" w:hAnsi="Times New Roman"/>
          <w:sz w:val="20"/>
        </w:rPr>
        <w:t>Article 13(1) of Regulation (EU) No. 250/2014.</w:t>
      </w:r>
      <w:proofErr w:type="gramEnd"/>
    </w:p>
  </w:footnote>
  <w:footnote w:id="43">
    <w:p w:rsidR="00134DD9" w:rsidRPr="00BB21CD" w:rsidRDefault="00134DD9" w:rsidP="00134DD9">
      <w:pPr>
        <w:pStyle w:val="Footnote"/>
        <w:rPr>
          <w:rFonts w:ascii="Times New Roman" w:hAnsi="Times New Roman"/>
          <w:sz w:val="20"/>
          <w:szCs w:val="20"/>
        </w:rPr>
      </w:pPr>
      <w:r w:rsidRPr="00BB21CD">
        <w:rPr>
          <w:rStyle w:val="FootnoteReference"/>
          <w:rFonts w:ascii="Times New Roman" w:hAnsi="Times New Roman"/>
          <w:sz w:val="20"/>
          <w:szCs w:val="20"/>
        </w:rPr>
        <w:footnoteRef/>
      </w:r>
      <w:r w:rsidRPr="00BB21CD">
        <w:rPr>
          <w:rFonts w:ascii="Times New Roman" w:hAnsi="Times New Roman"/>
          <w:sz w:val="20"/>
          <w:szCs w:val="20"/>
        </w:rPr>
        <w:t xml:space="preserve"> </w:t>
      </w:r>
      <w:r w:rsidRPr="00BB21CD">
        <w:rPr>
          <w:rFonts w:ascii="Times New Roman" w:hAnsi="Times New Roman"/>
          <w:sz w:val="20"/>
          <w:szCs w:val="20"/>
        </w:rPr>
        <w:tab/>
      </w:r>
      <w:r w:rsidRPr="00BB21CD">
        <w:rPr>
          <w:rFonts w:ascii="Times New Roman" w:hAnsi="Times New Roman"/>
          <w:sz w:val="20"/>
          <w:szCs w:val="20"/>
        </w:rPr>
        <w:tab/>
        <w:t>The Commission will reply according to the Code of good administrative behaviour within 15</w:t>
      </w:r>
    </w:p>
    <w:p w:rsidR="00134DD9" w:rsidRPr="00BB21CD" w:rsidRDefault="00134DD9" w:rsidP="00134DD9">
      <w:pPr>
        <w:pStyle w:val="Footnote"/>
        <w:ind w:left="720" w:firstLine="0"/>
        <w:rPr>
          <w:rFonts w:ascii="Times New Roman" w:hAnsi="Times New Roman"/>
          <w:sz w:val="20"/>
          <w:szCs w:val="20"/>
        </w:rPr>
      </w:pPr>
      <w:proofErr w:type="gramStart"/>
      <w:r w:rsidRPr="00BB21CD">
        <w:rPr>
          <w:rFonts w:ascii="Times New Roman" w:hAnsi="Times New Roman"/>
          <w:sz w:val="20"/>
          <w:szCs w:val="20"/>
        </w:rPr>
        <w:t>days</w:t>
      </w:r>
      <w:proofErr w:type="gramEnd"/>
      <w:r w:rsidRPr="00BB21CD">
        <w:rPr>
          <w:rFonts w:ascii="Times New Roman" w:hAnsi="Times New Roman"/>
          <w:sz w:val="20"/>
          <w:szCs w:val="20"/>
        </w:rPr>
        <w:t xml:space="preserve"> from receipt of the question. </w:t>
      </w:r>
    </w:p>
  </w:footnote>
  <w:footnote w:id="44">
    <w:p w:rsidR="00A46940" w:rsidRPr="00720C26" w:rsidRDefault="00A46940" w:rsidP="00FC3CA2">
      <w:pPr>
        <w:pStyle w:val="footnote0"/>
        <w:tabs>
          <w:tab w:val="clear" w:pos="284"/>
          <w:tab w:val="left" w:pos="851"/>
        </w:tabs>
        <w:ind w:left="851" w:hanging="851"/>
      </w:pPr>
      <w:r w:rsidRPr="00C173E3">
        <w:rPr>
          <w:rStyle w:val="FootnoteReference"/>
          <w:rFonts w:ascii="Times New Roman" w:hAnsi="Times New Roman"/>
          <w:sz w:val="20"/>
        </w:rPr>
        <w:footnoteRef/>
      </w:r>
      <w:r w:rsidRPr="00C173E3">
        <w:rPr>
          <w:rStyle w:val="FootnoteReference"/>
          <w:rFonts w:ascii="Times New Roman" w:hAnsi="Times New Roman"/>
          <w:sz w:val="20"/>
        </w:rPr>
        <w:t xml:space="preserve"> </w:t>
      </w:r>
      <w:r w:rsidRPr="00720C26">
        <w:tab/>
      </w:r>
      <w:proofErr w:type="gramStart"/>
      <w:r w:rsidRPr="00486DEC">
        <w:rPr>
          <w:rFonts w:ascii="Times New Roman" w:hAnsi="Times New Roman"/>
          <w:sz w:val="20"/>
          <w:lang w:eastAsia="en-US"/>
        </w:rPr>
        <w:t>European Union Official Journal L 8, 12.1.2001.</w:t>
      </w:r>
      <w:proofErr w:type="gramEnd"/>
    </w:p>
  </w:footnote>
  <w:footnote w:id="45">
    <w:p w:rsidR="00A46940" w:rsidRDefault="00A46940" w:rsidP="00486DEC">
      <w:pPr>
        <w:pStyle w:val="FootnoteText"/>
        <w:spacing w:after="0"/>
        <w:ind w:left="851" w:hanging="851"/>
      </w:pPr>
      <w:r>
        <w:rPr>
          <w:rStyle w:val="FootnoteReference"/>
        </w:rPr>
        <w:footnoteRef/>
      </w:r>
      <w:r w:rsidR="00486DEC" w:rsidRPr="00C173E3">
        <w:rPr>
          <w:rStyle w:val="FootnoteReference"/>
        </w:rPr>
        <w:t xml:space="preserve"> </w:t>
      </w:r>
      <w:r w:rsidR="00486DEC">
        <w:tab/>
      </w:r>
      <w:hyperlink r:id="rId7" w:history="1">
        <w:r w:rsidRPr="002E6733">
          <w:rPr>
            <w:rStyle w:val="Hyperlink"/>
          </w:rPr>
          <w:t>OLAF-FMB-DPO@ec.europa.eu</w:t>
        </w:r>
      </w:hyperlink>
      <w:r>
        <w:t xml:space="preserve">  </w:t>
      </w:r>
    </w:p>
  </w:footnote>
  <w:footnote w:id="46">
    <w:p w:rsidR="00A46940" w:rsidRPr="00720C26" w:rsidRDefault="00A46940" w:rsidP="00486DEC">
      <w:pPr>
        <w:pStyle w:val="footnote0"/>
        <w:tabs>
          <w:tab w:val="clear" w:pos="284"/>
          <w:tab w:val="left" w:pos="851"/>
        </w:tabs>
        <w:ind w:left="851" w:hanging="851"/>
      </w:pPr>
      <w:r w:rsidRPr="00C173E3">
        <w:rPr>
          <w:rStyle w:val="FootnoteReference"/>
          <w:rFonts w:ascii="Times New Roman" w:hAnsi="Times New Roman"/>
          <w:sz w:val="20"/>
        </w:rPr>
        <w:footnoteRef/>
      </w:r>
      <w:r w:rsidRPr="00C173E3">
        <w:rPr>
          <w:rStyle w:val="FootnoteReference"/>
          <w:rFonts w:ascii="Times New Roman" w:hAnsi="Times New Roman"/>
          <w:sz w:val="20"/>
        </w:rPr>
        <w:t xml:space="preserve"> </w:t>
      </w:r>
      <w:r w:rsidRPr="00720C26">
        <w:tab/>
      </w:r>
      <w:hyperlink r:id="rId8" w:history="1">
        <w:r w:rsidRPr="00486DEC">
          <w:rPr>
            <w:rStyle w:val="Hyperlink"/>
            <w:rFonts w:ascii="Times New Roman" w:hAnsi="Times New Roman"/>
            <w:sz w:val="20"/>
          </w:rPr>
          <w:t>http://www.edps.europa.eu</w:t>
        </w:r>
      </w:hyperlink>
      <w:r w:rsidRPr="00486DEC">
        <w:rPr>
          <w:rStyle w:val="Hyperlink"/>
          <w:rFonts w:ascii="Times New Roman" w:hAnsi="Times New Roman"/>
          <w:sz w:val="20"/>
        </w:rPr>
        <w:t>.</w:t>
      </w:r>
    </w:p>
  </w:footnote>
  <w:footnote w:id="47">
    <w:p w:rsidR="00A46940" w:rsidRPr="002657D3" w:rsidRDefault="00A46940" w:rsidP="00195FED">
      <w:pPr>
        <w:pStyle w:val="FootnoteText"/>
        <w:spacing w:after="0"/>
        <w:ind w:left="851" w:hanging="851"/>
        <w:rPr>
          <w:rFonts w:ascii="Verdana" w:hAnsi="Verdana"/>
          <w:sz w:val="16"/>
          <w:szCs w:val="16"/>
        </w:rPr>
      </w:pPr>
      <w:r w:rsidRPr="006214A5">
        <w:rPr>
          <w:rStyle w:val="FootnoteReference"/>
        </w:rPr>
        <w:footnoteRef/>
      </w:r>
      <w:r w:rsidRPr="006214A5">
        <w:rPr>
          <w:rStyle w:val="FootnoteReference"/>
        </w:rPr>
        <w:t xml:space="preserve"> </w:t>
      </w:r>
      <w:r w:rsidRPr="002657D3">
        <w:rPr>
          <w:rFonts w:ascii="Verdana" w:hAnsi="Verdana"/>
          <w:sz w:val="16"/>
          <w:szCs w:val="16"/>
        </w:rPr>
        <w:tab/>
      </w:r>
      <w:r w:rsidRPr="002B6EEB">
        <w:t xml:space="preserve">Article 108 FR and Article 143 </w:t>
      </w:r>
      <w:proofErr w:type="gramStart"/>
      <w:r w:rsidRPr="002B6EEB">
        <w:t>RAP</w:t>
      </w:r>
      <w:proofErr w:type="gramEnd"/>
      <w:r w:rsidRPr="002B6EEB">
        <w:t>.</w:t>
      </w:r>
    </w:p>
  </w:footnote>
  <w:footnote w:id="48">
    <w:p w:rsidR="0096630B" w:rsidRDefault="0096630B" w:rsidP="00195FED">
      <w:pPr>
        <w:pStyle w:val="FootnoteText"/>
        <w:spacing w:after="0"/>
        <w:ind w:left="851" w:hanging="851"/>
      </w:pPr>
      <w:r>
        <w:rPr>
          <w:rStyle w:val="FootnoteReference"/>
        </w:rPr>
        <w:footnoteRef/>
      </w:r>
      <w:r>
        <w:t xml:space="preserve"> </w:t>
      </w:r>
      <w:r>
        <w:tab/>
      </w:r>
      <w:hyperlink r:id="rId9" w:history="1">
        <w:r w:rsidRPr="00CD3BF9">
          <w:rPr>
            <w:rStyle w:val="Hyperlink"/>
          </w:rPr>
          <w:t>https://ec.europa.eu/anti-fraud/policy/hercule_en</w:t>
        </w:r>
      </w:hyperlink>
      <w:r>
        <w:t xml:space="preserve"> </w:t>
      </w:r>
    </w:p>
  </w:footnote>
  <w:footnote w:id="49">
    <w:p w:rsidR="0096630B" w:rsidRPr="00FD3101" w:rsidRDefault="0096630B" w:rsidP="00195FED">
      <w:pPr>
        <w:pStyle w:val="FootnoteText"/>
        <w:spacing w:after="0"/>
        <w:ind w:left="851" w:hanging="851"/>
        <w:rPr>
          <w:sz w:val="16"/>
          <w:szCs w:val="16"/>
        </w:rPr>
      </w:pPr>
      <w:r>
        <w:rPr>
          <w:rStyle w:val="FootnoteReference"/>
        </w:rPr>
        <w:footnoteRef/>
      </w:r>
      <w:r>
        <w:t xml:space="preserve"> </w:t>
      </w:r>
      <w:r>
        <w:tab/>
      </w:r>
      <w:hyperlink r:id="rId10" w:history="1">
        <w:r w:rsidRPr="00FD3101">
          <w:rPr>
            <w:rStyle w:val="Hyperlink"/>
            <w:sz w:val="16"/>
            <w:szCs w:val="16"/>
          </w:rPr>
          <w:t>https://digit-efp-ppe.cc.cec.eu.int/acc/research/participants/portal/desktop/en/opportunities/herc/index.html</w:t>
        </w:r>
      </w:hyperlink>
      <w:r w:rsidRPr="00FD3101">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1F1"/>
    <w:multiLevelType w:val="hybridMultilevel"/>
    <w:tmpl w:val="708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7168D"/>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E20C7C"/>
    <w:multiLevelType w:val="hybridMultilevel"/>
    <w:tmpl w:val="22A8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64B22"/>
    <w:multiLevelType w:val="hybridMultilevel"/>
    <w:tmpl w:val="369AF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504A30"/>
    <w:multiLevelType w:val="multilevel"/>
    <w:tmpl w:val="0809001D"/>
    <w:numStyleLink w:val="Style1"/>
  </w:abstractNum>
  <w:abstractNum w:abstractNumId="5">
    <w:nsid w:val="1A88161D"/>
    <w:multiLevelType w:val="hybridMultilevel"/>
    <w:tmpl w:val="AB9A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45188"/>
    <w:multiLevelType w:val="multilevel"/>
    <w:tmpl w:val="20AA8E3C"/>
    <w:lvl w:ilvl="0">
      <w:start w:val="1"/>
      <w:numFmt w:val="decimal"/>
      <w:lvlText w:val="%1."/>
      <w:lvlJc w:val="left"/>
      <w:pPr>
        <w:ind w:left="432" w:hanging="432"/>
      </w:pPr>
      <w:rPr>
        <w:rFonts w:hint="default"/>
      </w:rPr>
    </w:lvl>
    <w:lvl w:ilvl="1">
      <w:start w:val="1"/>
      <w:numFmt w:val="decimal"/>
      <w:lvlText w:val="%1.%2"/>
      <w:lvlJc w:val="left"/>
      <w:pPr>
        <w:ind w:left="718" w:hanging="57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A3D1086"/>
    <w:multiLevelType w:val="hybridMultilevel"/>
    <w:tmpl w:val="0A3E502A"/>
    <w:lvl w:ilvl="0" w:tplc="450C6546">
      <w:numFmt w:val="bullet"/>
      <w:lvlText w:val="-"/>
      <w:lvlJc w:val="left"/>
      <w:pPr>
        <w:tabs>
          <w:tab w:val="num" w:pos="720"/>
        </w:tabs>
        <w:ind w:left="720" w:hanging="360"/>
      </w:pPr>
      <w:rPr>
        <w:rFonts w:ascii="Stencil" w:eastAsia="Stencil" w:hAnsi="Stencil" w:cs="Stencil" w:hint="default"/>
      </w:rPr>
    </w:lvl>
    <w:lvl w:ilvl="1" w:tplc="8D8C9F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2BE80D9D"/>
    <w:multiLevelType w:val="hybridMultilevel"/>
    <w:tmpl w:val="D3AAB3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4DB266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0C272BE"/>
    <w:multiLevelType w:val="hybridMultilevel"/>
    <w:tmpl w:val="4E56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32709"/>
    <w:multiLevelType w:val="multilevel"/>
    <w:tmpl w:val="151AC890"/>
    <w:lvl w:ilvl="0">
      <w:start w:val="1"/>
      <w:numFmt w:val="lowerLetter"/>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D56668E"/>
    <w:multiLevelType w:val="hybridMultilevel"/>
    <w:tmpl w:val="57FA857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5DF4152B"/>
    <w:multiLevelType w:val="hybridMultilevel"/>
    <w:tmpl w:val="8664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AA4540"/>
    <w:multiLevelType w:val="hybridMultilevel"/>
    <w:tmpl w:val="B294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A8042C"/>
    <w:multiLevelType w:val="singleLevel"/>
    <w:tmpl w:val="CCF20C06"/>
    <w:name w:val="Tiret 3"/>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63C67482"/>
    <w:multiLevelType w:val="hybridMultilevel"/>
    <w:tmpl w:val="E46A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B807BC"/>
    <w:multiLevelType w:val="hybridMultilevel"/>
    <w:tmpl w:val="B4967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AE77551"/>
    <w:multiLevelType w:val="hybridMultilevel"/>
    <w:tmpl w:val="708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036D7F"/>
    <w:multiLevelType w:val="singleLevel"/>
    <w:tmpl w:val="A62ED830"/>
    <w:lvl w:ilvl="0">
      <w:start w:val="1"/>
      <w:numFmt w:val="bullet"/>
      <w:pStyle w:val="Application5"/>
      <w:lvlText w:val=""/>
      <w:lvlJc w:val="left"/>
      <w:pPr>
        <w:tabs>
          <w:tab w:val="num" w:pos="360"/>
        </w:tabs>
        <w:ind w:left="360" w:hanging="360"/>
      </w:pPr>
      <w:rPr>
        <w:rFonts w:ascii="Symbol" w:hAnsi="Symbol" w:hint="default"/>
      </w:rPr>
    </w:lvl>
  </w:abstractNum>
  <w:abstractNum w:abstractNumId="26">
    <w:nsid w:val="76FB43F8"/>
    <w:multiLevelType w:val="hybridMultilevel"/>
    <w:tmpl w:val="91A01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0E0CDE"/>
    <w:multiLevelType w:val="hybridMultilevel"/>
    <w:tmpl w:val="C712B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25"/>
  </w:num>
  <w:num w:numId="4">
    <w:abstractNumId w:val="2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1"/>
  </w:num>
  <w:num w:numId="9">
    <w:abstractNumId w:val="5"/>
  </w:num>
  <w:num w:numId="10">
    <w:abstractNumId w:val="8"/>
  </w:num>
  <w:num w:numId="11">
    <w:abstractNumId w:val="27"/>
  </w:num>
  <w:num w:numId="12">
    <w:abstractNumId w:val="2"/>
  </w:num>
  <w:num w:numId="13">
    <w:abstractNumId w:val="9"/>
  </w:num>
  <w:num w:numId="14">
    <w:abstractNumId w:val="23"/>
  </w:num>
  <w:num w:numId="15">
    <w:abstractNumId w:val="26"/>
  </w:num>
  <w:num w:numId="16">
    <w:abstractNumId w:val="19"/>
  </w:num>
  <w:num w:numId="17">
    <w:abstractNumId w:val="24"/>
  </w:num>
  <w:num w:numId="18">
    <w:abstractNumId w:val="1"/>
  </w:num>
  <w:num w:numId="19">
    <w:abstractNumId w:val="4"/>
  </w:num>
  <w:num w:numId="20">
    <w:abstractNumId w:val="16"/>
  </w:num>
  <w:num w:numId="21">
    <w:abstractNumId w:val="3"/>
  </w:num>
  <w:num w:numId="22">
    <w:abstractNumId w:val="22"/>
  </w:num>
  <w:num w:numId="23">
    <w:abstractNumId w:val="14"/>
  </w:num>
  <w:num w:numId="24">
    <w:abstractNumId w:val="17"/>
  </w:num>
  <w:num w:numId="25">
    <w:abstractNumId w:val="0"/>
  </w:num>
  <w:num w:numId="26">
    <w:abstractNumId w:val="21"/>
  </w:num>
  <w:num w:numId="27">
    <w:abstractNumId w:val="15"/>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OLAF\OLAF-2014-00354\OLAF-2014-00354-00-00-EN-REV-00.DOC"/>
  </w:docVars>
  <w:rsids>
    <w:rsidRoot w:val="00727B34"/>
    <w:rsid w:val="0000094B"/>
    <w:rsid w:val="0000262B"/>
    <w:rsid w:val="000026AF"/>
    <w:rsid w:val="00002DFD"/>
    <w:rsid w:val="000033B9"/>
    <w:rsid w:val="00003665"/>
    <w:rsid w:val="00003B45"/>
    <w:rsid w:val="00004C92"/>
    <w:rsid w:val="00004D8A"/>
    <w:rsid w:val="00004FFC"/>
    <w:rsid w:val="00005A56"/>
    <w:rsid w:val="00006815"/>
    <w:rsid w:val="00010287"/>
    <w:rsid w:val="00013920"/>
    <w:rsid w:val="000147F3"/>
    <w:rsid w:val="00015232"/>
    <w:rsid w:val="00015255"/>
    <w:rsid w:val="00020254"/>
    <w:rsid w:val="000202AB"/>
    <w:rsid w:val="00020A4F"/>
    <w:rsid w:val="000217B7"/>
    <w:rsid w:val="00023EEB"/>
    <w:rsid w:val="00024374"/>
    <w:rsid w:val="00026E85"/>
    <w:rsid w:val="00027A3C"/>
    <w:rsid w:val="00030755"/>
    <w:rsid w:val="00031581"/>
    <w:rsid w:val="0003168F"/>
    <w:rsid w:val="00031B1F"/>
    <w:rsid w:val="00032941"/>
    <w:rsid w:val="00032F00"/>
    <w:rsid w:val="00034BF4"/>
    <w:rsid w:val="00034F0C"/>
    <w:rsid w:val="00035834"/>
    <w:rsid w:val="000403D0"/>
    <w:rsid w:val="00040A16"/>
    <w:rsid w:val="000410FD"/>
    <w:rsid w:val="0004215B"/>
    <w:rsid w:val="000428B6"/>
    <w:rsid w:val="000446B1"/>
    <w:rsid w:val="0004576F"/>
    <w:rsid w:val="00045941"/>
    <w:rsid w:val="00047F95"/>
    <w:rsid w:val="0005019C"/>
    <w:rsid w:val="00051370"/>
    <w:rsid w:val="000516A8"/>
    <w:rsid w:val="00051AE1"/>
    <w:rsid w:val="0005336E"/>
    <w:rsid w:val="00053D87"/>
    <w:rsid w:val="00054F11"/>
    <w:rsid w:val="0005605B"/>
    <w:rsid w:val="00056181"/>
    <w:rsid w:val="0005647D"/>
    <w:rsid w:val="0005648A"/>
    <w:rsid w:val="00056A34"/>
    <w:rsid w:val="000571B9"/>
    <w:rsid w:val="00057651"/>
    <w:rsid w:val="00057D29"/>
    <w:rsid w:val="000603C1"/>
    <w:rsid w:val="00062F0F"/>
    <w:rsid w:val="000638EE"/>
    <w:rsid w:val="00063F76"/>
    <w:rsid w:val="00066374"/>
    <w:rsid w:val="000664FC"/>
    <w:rsid w:val="00067019"/>
    <w:rsid w:val="00067310"/>
    <w:rsid w:val="0006745B"/>
    <w:rsid w:val="000715CC"/>
    <w:rsid w:val="00071C04"/>
    <w:rsid w:val="00071FA3"/>
    <w:rsid w:val="00074093"/>
    <w:rsid w:val="000755B9"/>
    <w:rsid w:val="00075DB8"/>
    <w:rsid w:val="000765BC"/>
    <w:rsid w:val="00077E65"/>
    <w:rsid w:val="000807D1"/>
    <w:rsid w:val="00082877"/>
    <w:rsid w:val="0008287A"/>
    <w:rsid w:val="00082944"/>
    <w:rsid w:val="00082A3B"/>
    <w:rsid w:val="00084228"/>
    <w:rsid w:val="00084497"/>
    <w:rsid w:val="00086837"/>
    <w:rsid w:val="00091312"/>
    <w:rsid w:val="000929F8"/>
    <w:rsid w:val="000934FB"/>
    <w:rsid w:val="00093D03"/>
    <w:rsid w:val="00094440"/>
    <w:rsid w:val="0009579D"/>
    <w:rsid w:val="000963F3"/>
    <w:rsid w:val="0009666B"/>
    <w:rsid w:val="000975F3"/>
    <w:rsid w:val="000A0165"/>
    <w:rsid w:val="000A0284"/>
    <w:rsid w:val="000A36A8"/>
    <w:rsid w:val="000A390F"/>
    <w:rsid w:val="000A55CD"/>
    <w:rsid w:val="000A69F9"/>
    <w:rsid w:val="000A6A21"/>
    <w:rsid w:val="000A744A"/>
    <w:rsid w:val="000A76AE"/>
    <w:rsid w:val="000B13C4"/>
    <w:rsid w:val="000B3319"/>
    <w:rsid w:val="000B3977"/>
    <w:rsid w:val="000B3B74"/>
    <w:rsid w:val="000B3C16"/>
    <w:rsid w:val="000B4137"/>
    <w:rsid w:val="000B4ADD"/>
    <w:rsid w:val="000B4C54"/>
    <w:rsid w:val="000C06D2"/>
    <w:rsid w:val="000C16AB"/>
    <w:rsid w:val="000C19B0"/>
    <w:rsid w:val="000C3AC6"/>
    <w:rsid w:val="000C3AD1"/>
    <w:rsid w:val="000C6FBA"/>
    <w:rsid w:val="000D1C44"/>
    <w:rsid w:val="000D2089"/>
    <w:rsid w:val="000D43A0"/>
    <w:rsid w:val="000D552C"/>
    <w:rsid w:val="000D5604"/>
    <w:rsid w:val="000D6131"/>
    <w:rsid w:val="000D7112"/>
    <w:rsid w:val="000E0544"/>
    <w:rsid w:val="000E1623"/>
    <w:rsid w:val="000E190D"/>
    <w:rsid w:val="000E1990"/>
    <w:rsid w:val="000E21AF"/>
    <w:rsid w:val="000E24FB"/>
    <w:rsid w:val="000E3163"/>
    <w:rsid w:val="000E4711"/>
    <w:rsid w:val="000E4A3A"/>
    <w:rsid w:val="000E596E"/>
    <w:rsid w:val="000E6AF8"/>
    <w:rsid w:val="000E7327"/>
    <w:rsid w:val="000E7B1B"/>
    <w:rsid w:val="000E7D3E"/>
    <w:rsid w:val="000F1FC5"/>
    <w:rsid w:val="000F36FD"/>
    <w:rsid w:val="000F68F6"/>
    <w:rsid w:val="000F69DE"/>
    <w:rsid w:val="000F6AE6"/>
    <w:rsid w:val="000F6CB0"/>
    <w:rsid w:val="0010040B"/>
    <w:rsid w:val="00100966"/>
    <w:rsid w:val="0010151B"/>
    <w:rsid w:val="00101718"/>
    <w:rsid w:val="00101D06"/>
    <w:rsid w:val="00101F3A"/>
    <w:rsid w:val="00103E3C"/>
    <w:rsid w:val="00104902"/>
    <w:rsid w:val="0010516A"/>
    <w:rsid w:val="00105EEB"/>
    <w:rsid w:val="0010651A"/>
    <w:rsid w:val="00110461"/>
    <w:rsid w:val="00110823"/>
    <w:rsid w:val="0011102C"/>
    <w:rsid w:val="001122FA"/>
    <w:rsid w:val="00113555"/>
    <w:rsid w:val="00113718"/>
    <w:rsid w:val="00113BD5"/>
    <w:rsid w:val="00114085"/>
    <w:rsid w:val="001144A7"/>
    <w:rsid w:val="00114E6D"/>
    <w:rsid w:val="00114F8C"/>
    <w:rsid w:val="0011543B"/>
    <w:rsid w:val="001161BF"/>
    <w:rsid w:val="00117D43"/>
    <w:rsid w:val="00120809"/>
    <w:rsid w:val="001224DA"/>
    <w:rsid w:val="00122CC1"/>
    <w:rsid w:val="001233D7"/>
    <w:rsid w:val="001234BD"/>
    <w:rsid w:val="00123600"/>
    <w:rsid w:val="00125336"/>
    <w:rsid w:val="001259F8"/>
    <w:rsid w:val="00127024"/>
    <w:rsid w:val="00127BFB"/>
    <w:rsid w:val="00131DFB"/>
    <w:rsid w:val="00131E5A"/>
    <w:rsid w:val="001324E7"/>
    <w:rsid w:val="00132917"/>
    <w:rsid w:val="00134DD9"/>
    <w:rsid w:val="0013505C"/>
    <w:rsid w:val="001368EF"/>
    <w:rsid w:val="001374A7"/>
    <w:rsid w:val="00137642"/>
    <w:rsid w:val="0014084F"/>
    <w:rsid w:val="001419F3"/>
    <w:rsid w:val="00141C97"/>
    <w:rsid w:val="00141E55"/>
    <w:rsid w:val="00142235"/>
    <w:rsid w:val="001453BB"/>
    <w:rsid w:val="00146BDB"/>
    <w:rsid w:val="0014769D"/>
    <w:rsid w:val="001512A7"/>
    <w:rsid w:val="001517B3"/>
    <w:rsid w:val="001522BA"/>
    <w:rsid w:val="00152915"/>
    <w:rsid w:val="00153D7B"/>
    <w:rsid w:val="00154A36"/>
    <w:rsid w:val="001554B9"/>
    <w:rsid w:val="00155E47"/>
    <w:rsid w:val="00156022"/>
    <w:rsid w:val="00156B38"/>
    <w:rsid w:val="00156F06"/>
    <w:rsid w:val="0015786C"/>
    <w:rsid w:val="0016010B"/>
    <w:rsid w:val="00160403"/>
    <w:rsid w:val="00160DFB"/>
    <w:rsid w:val="00161932"/>
    <w:rsid w:val="0016236C"/>
    <w:rsid w:val="00163631"/>
    <w:rsid w:val="00163F25"/>
    <w:rsid w:val="00163F40"/>
    <w:rsid w:val="00164057"/>
    <w:rsid w:val="00165C1E"/>
    <w:rsid w:val="00165F58"/>
    <w:rsid w:val="00167C64"/>
    <w:rsid w:val="00167D03"/>
    <w:rsid w:val="00170CBE"/>
    <w:rsid w:val="0017148C"/>
    <w:rsid w:val="0017270E"/>
    <w:rsid w:val="00172871"/>
    <w:rsid w:val="00172B2C"/>
    <w:rsid w:val="00172D0F"/>
    <w:rsid w:val="001734E3"/>
    <w:rsid w:val="00174413"/>
    <w:rsid w:val="0017571B"/>
    <w:rsid w:val="001757D7"/>
    <w:rsid w:val="00175820"/>
    <w:rsid w:val="00176178"/>
    <w:rsid w:val="00176454"/>
    <w:rsid w:val="00176B39"/>
    <w:rsid w:val="0017774A"/>
    <w:rsid w:val="00177B4F"/>
    <w:rsid w:val="0018149B"/>
    <w:rsid w:val="00181937"/>
    <w:rsid w:val="00181A58"/>
    <w:rsid w:val="001825A4"/>
    <w:rsid w:val="0018275F"/>
    <w:rsid w:val="001848E6"/>
    <w:rsid w:val="00184C65"/>
    <w:rsid w:val="001856D7"/>
    <w:rsid w:val="00187844"/>
    <w:rsid w:val="00190587"/>
    <w:rsid w:val="00190C89"/>
    <w:rsid w:val="00192A76"/>
    <w:rsid w:val="001937A5"/>
    <w:rsid w:val="00194D50"/>
    <w:rsid w:val="00194EB1"/>
    <w:rsid w:val="00194FB0"/>
    <w:rsid w:val="0019544F"/>
    <w:rsid w:val="00195718"/>
    <w:rsid w:val="00195FED"/>
    <w:rsid w:val="001964B2"/>
    <w:rsid w:val="001977EA"/>
    <w:rsid w:val="001A0014"/>
    <w:rsid w:val="001A09A9"/>
    <w:rsid w:val="001A1AED"/>
    <w:rsid w:val="001A217C"/>
    <w:rsid w:val="001A28DC"/>
    <w:rsid w:val="001A3B13"/>
    <w:rsid w:val="001A6880"/>
    <w:rsid w:val="001A69CA"/>
    <w:rsid w:val="001B0CCE"/>
    <w:rsid w:val="001B14E0"/>
    <w:rsid w:val="001B2166"/>
    <w:rsid w:val="001B26CD"/>
    <w:rsid w:val="001B27CA"/>
    <w:rsid w:val="001B33CE"/>
    <w:rsid w:val="001B3A8B"/>
    <w:rsid w:val="001B40DF"/>
    <w:rsid w:val="001B4620"/>
    <w:rsid w:val="001B4651"/>
    <w:rsid w:val="001B4F1E"/>
    <w:rsid w:val="001B56AD"/>
    <w:rsid w:val="001B5DFE"/>
    <w:rsid w:val="001B6610"/>
    <w:rsid w:val="001B6EE2"/>
    <w:rsid w:val="001B72E1"/>
    <w:rsid w:val="001B789D"/>
    <w:rsid w:val="001B7BF2"/>
    <w:rsid w:val="001B7F78"/>
    <w:rsid w:val="001C081B"/>
    <w:rsid w:val="001C0AF4"/>
    <w:rsid w:val="001C1626"/>
    <w:rsid w:val="001C1C50"/>
    <w:rsid w:val="001C1D88"/>
    <w:rsid w:val="001C2322"/>
    <w:rsid w:val="001C3019"/>
    <w:rsid w:val="001C35EE"/>
    <w:rsid w:val="001C389D"/>
    <w:rsid w:val="001C3C06"/>
    <w:rsid w:val="001C5BE4"/>
    <w:rsid w:val="001C6CD1"/>
    <w:rsid w:val="001C73FA"/>
    <w:rsid w:val="001C78DE"/>
    <w:rsid w:val="001C7EAE"/>
    <w:rsid w:val="001D0B7E"/>
    <w:rsid w:val="001D0DE3"/>
    <w:rsid w:val="001D0F8E"/>
    <w:rsid w:val="001D1CF9"/>
    <w:rsid w:val="001D4771"/>
    <w:rsid w:val="001D48D2"/>
    <w:rsid w:val="001D70E1"/>
    <w:rsid w:val="001D79F5"/>
    <w:rsid w:val="001D7A49"/>
    <w:rsid w:val="001D7E82"/>
    <w:rsid w:val="001E17F2"/>
    <w:rsid w:val="001E1E33"/>
    <w:rsid w:val="001E254B"/>
    <w:rsid w:val="001E4BC6"/>
    <w:rsid w:val="001E4D06"/>
    <w:rsid w:val="001E62A6"/>
    <w:rsid w:val="001E6BFD"/>
    <w:rsid w:val="001E7B26"/>
    <w:rsid w:val="001E7CEF"/>
    <w:rsid w:val="001F0C27"/>
    <w:rsid w:val="001F0D70"/>
    <w:rsid w:val="001F1F56"/>
    <w:rsid w:val="001F2670"/>
    <w:rsid w:val="001F29FD"/>
    <w:rsid w:val="001F2E1D"/>
    <w:rsid w:val="001F39E5"/>
    <w:rsid w:val="001F4D4B"/>
    <w:rsid w:val="001F58E3"/>
    <w:rsid w:val="001F63AC"/>
    <w:rsid w:val="001F6EAC"/>
    <w:rsid w:val="001F6EF0"/>
    <w:rsid w:val="001F7F9B"/>
    <w:rsid w:val="00201276"/>
    <w:rsid w:val="00201846"/>
    <w:rsid w:val="00201E72"/>
    <w:rsid w:val="00202C8A"/>
    <w:rsid w:val="00204037"/>
    <w:rsid w:val="002047F0"/>
    <w:rsid w:val="00205B2B"/>
    <w:rsid w:val="0020635B"/>
    <w:rsid w:val="002068D6"/>
    <w:rsid w:val="00210D37"/>
    <w:rsid w:val="00211256"/>
    <w:rsid w:val="00212F79"/>
    <w:rsid w:val="00213E03"/>
    <w:rsid w:val="00214D20"/>
    <w:rsid w:val="0021533A"/>
    <w:rsid w:val="002168F7"/>
    <w:rsid w:val="00220219"/>
    <w:rsid w:val="002208CA"/>
    <w:rsid w:val="00222B79"/>
    <w:rsid w:val="00224403"/>
    <w:rsid w:val="0022451A"/>
    <w:rsid w:val="00225562"/>
    <w:rsid w:val="002256CF"/>
    <w:rsid w:val="00226131"/>
    <w:rsid w:val="0022651B"/>
    <w:rsid w:val="00226702"/>
    <w:rsid w:val="00226837"/>
    <w:rsid w:val="0022750D"/>
    <w:rsid w:val="00231FAD"/>
    <w:rsid w:val="00232D69"/>
    <w:rsid w:val="00232EF0"/>
    <w:rsid w:val="0023360A"/>
    <w:rsid w:val="002355A8"/>
    <w:rsid w:val="002369B6"/>
    <w:rsid w:val="00236BDD"/>
    <w:rsid w:val="00240CB0"/>
    <w:rsid w:val="00240CF4"/>
    <w:rsid w:val="002417EA"/>
    <w:rsid w:val="00241C82"/>
    <w:rsid w:val="0024459E"/>
    <w:rsid w:val="00244F4E"/>
    <w:rsid w:val="00246028"/>
    <w:rsid w:val="00246E9E"/>
    <w:rsid w:val="00247E87"/>
    <w:rsid w:val="0025086A"/>
    <w:rsid w:val="00251932"/>
    <w:rsid w:val="00252236"/>
    <w:rsid w:val="00252430"/>
    <w:rsid w:val="00252575"/>
    <w:rsid w:val="0025308C"/>
    <w:rsid w:val="00253497"/>
    <w:rsid w:val="00253821"/>
    <w:rsid w:val="00254A9C"/>
    <w:rsid w:val="00254AA3"/>
    <w:rsid w:val="00254D08"/>
    <w:rsid w:val="0025515B"/>
    <w:rsid w:val="002557DD"/>
    <w:rsid w:val="0025634E"/>
    <w:rsid w:val="00256403"/>
    <w:rsid w:val="00256D20"/>
    <w:rsid w:val="00256EE0"/>
    <w:rsid w:val="002578A9"/>
    <w:rsid w:val="00257F0F"/>
    <w:rsid w:val="00262B70"/>
    <w:rsid w:val="0026315C"/>
    <w:rsid w:val="00264FA1"/>
    <w:rsid w:val="002661D0"/>
    <w:rsid w:val="0026661C"/>
    <w:rsid w:val="0026708E"/>
    <w:rsid w:val="002672A9"/>
    <w:rsid w:val="00270DE5"/>
    <w:rsid w:val="002736CA"/>
    <w:rsid w:val="00273C20"/>
    <w:rsid w:val="00274E33"/>
    <w:rsid w:val="00275108"/>
    <w:rsid w:val="00275923"/>
    <w:rsid w:val="0027606D"/>
    <w:rsid w:val="00277672"/>
    <w:rsid w:val="0028000B"/>
    <w:rsid w:val="00280473"/>
    <w:rsid w:val="0028139E"/>
    <w:rsid w:val="00282612"/>
    <w:rsid w:val="0028264E"/>
    <w:rsid w:val="00282BB1"/>
    <w:rsid w:val="00283F32"/>
    <w:rsid w:val="0028473A"/>
    <w:rsid w:val="00284B03"/>
    <w:rsid w:val="00285817"/>
    <w:rsid w:val="00286771"/>
    <w:rsid w:val="00286CF3"/>
    <w:rsid w:val="00287276"/>
    <w:rsid w:val="00287643"/>
    <w:rsid w:val="002879FB"/>
    <w:rsid w:val="002901FE"/>
    <w:rsid w:val="002909C0"/>
    <w:rsid w:val="00290CEE"/>
    <w:rsid w:val="00292846"/>
    <w:rsid w:val="00292D94"/>
    <w:rsid w:val="00292F22"/>
    <w:rsid w:val="00292F6B"/>
    <w:rsid w:val="0029358F"/>
    <w:rsid w:val="00294EA1"/>
    <w:rsid w:val="00295529"/>
    <w:rsid w:val="00295807"/>
    <w:rsid w:val="00295C56"/>
    <w:rsid w:val="00296580"/>
    <w:rsid w:val="002977D4"/>
    <w:rsid w:val="00297FCB"/>
    <w:rsid w:val="002A065B"/>
    <w:rsid w:val="002A263C"/>
    <w:rsid w:val="002A301C"/>
    <w:rsid w:val="002A3777"/>
    <w:rsid w:val="002A3937"/>
    <w:rsid w:val="002A6144"/>
    <w:rsid w:val="002A6C9F"/>
    <w:rsid w:val="002B0560"/>
    <w:rsid w:val="002B0CE0"/>
    <w:rsid w:val="002B1398"/>
    <w:rsid w:val="002B13FB"/>
    <w:rsid w:val="002B1DBD"/>
    <w:rsid w:val="002B23E7"/>
    <w:rsid w:val="002B2E47"/>
    <w:rsid w:val="002B35D2"/>
    <w:rsid w:val="002B3B79"/>
    <w:rsid w:val="002B4260"/>
    <w:rsid w:val="002B4500"/>
    <w:rsid w:val="002B5EE8"/>
    <w:rsid w:val="002B6EEB"/>
    <w:rsid w:val="002B797F"/>
    <w:rsid w:val="002C09A6"/>
    <w:rsid w:val="002C0A89"/>
    <w:rsid w:val="002C1252"/>
    <w:rsid w:val="002C20AE"/>
    <w:rsid w:val="002C22DE"/>
    <w:rsid w:val="002C23EF"/>
    <w:rsid w:val="002C3696"/>
    <w:rsid w:val="002C45B4"/>
    <w:rsid w:val="002C50CA"/>
    <w:rsid w:val="002C541D"/>
    <w:rsid w:val="002C559B"/>
    <w:rsid w:val="002C5651"/>
    <w:rsid w:val="002C601B"/>
    <w:rsid w:val="002C6B44"/>
    <w:rsid w:val="002C72A9"/>
    <w:rsid w:val="002C758D"/>
    <w:rsid w:val="002C75A6"/>
    <w:rsid w:val="002D026A"/>
    <w:rsid w:val="002D0C5D"/>
    <w:rsid w:val="002D2C37"/>
    <w:rsid w:val="002D313C"/>
    <w:rsid w:val="002D35F4"/>
    <w:rsid w:val="002D3659"/>
    <w:rsid w:val="002D370C"/>
    <w:rsid w:val="002D4076"/>
    <w:rsid w:val="002D4F68"/>
    <w:rsid w:val="002D4FCA"/>
    <w:rsid w:val="002D5A75"/>
    <w:rsid w:val="002D601D"/>
    <w:rsid w:val="002D6555"/>
    <w:rsid w:val="002D71C6"/>
    <w:rsid w:val="002D76C4"/>
    <w:rsid w:val="002D793B"/>
    <w:rsid w:val="002E0103"/>
    <w:rsid w:val="002E0830"/>
    <w:rsid w:val="002E2614"/>
    <w:rsid w:val="002E2B74"/>
    <w:rsid w:val="002E4481"/>
    <w:rsid w:val="002E469C"/>
    <w:rsid w:val="002E6C62"/>
    <w:rsid w:val="002E6E63"/>
    <w:rsid w:val="002F00E1"/>
    <w:rsid w:val="002F1BF8"/>
    <w:rsid w:val="002F203B"/>
    <w:rsid w:val="002F2298"/>
    <w:rsid w:val="002F249C"/>
    <w:rsid w:val="002F4A1D"/>
    <w:rsid w:val="002F5061"/>
    <w:rsid w:val="002F5354"/>
    <w:rsid w:val="002F5B78"/>
    <w:rsid w:val="002F6F21"/>
    <w:rsid w:val="00300093"/>
    <w:rsid w:val="00300FF7"/>
    <w:rsid w:val="00301131"/>
    <w:rsid w:val="00301489"/>
    <w:rsid w:val="00304D7D"/>
    <w:rsid w:val="003064C7"/>
    <w:rsid w:val="00306EA6"/>
    <w:rsid w:val="00307894"/>
    <w:rsid w:val="00307B88"/>
    <w:rsid w:val="00307F75"/>
    <w:rsid w:val="00310B61"/>
    <w:rsid w:val="003111D9"/>
    <w:rsid w:val="00311E65"/>
    <w:rsid w:val="00313BE0"/>
    <w:rsid w:val="00313DF5"/>
    <w:rsid w:val="00315F93"/>
    <w:rsid w:val="00316862"/>
    <w:rsid w:val="00316C09"/>
    <w:rsid w:val="003176A2"/>
    <w:rsid w:val="003201BE"/>
    <w:rsid w:val="00320A1E"/>
    <w:rsid w:val="0032168C"/>
    <w:rsid w:val="00321AF6"/>
    <w:rsid w:val="00321EC0"/>
    <w:rsid w:val="00322F82"/>
    <w:rsid w:val="0032335E"/>
    <w:rsid w:val="00324F19"/>
    <w:rsid w:val="00325853"/>
    <w:rsid w:val="00325D87"/>
    <w:rsid w:val="0032670E"/>
    <w:rsid w:val="00326E7C"/>
    <w:rsid w:val="0032731C"/>
    <w:rsid w:val="0032758C"/>
    <w:rsid w:val="00331137"/>
    <w:rsid w:val="00333BA2"/>
    <w:rsid w:val="0033420C"/>
    <w:rsid w:val="0033471C"/>
    <w:rsid w:val="00334B38"/>
    <w:rsid w:val="0033521B"/>
    <w:rsid w:val="003355E1"/>
    <w:rsid w:val="0033564F"/>
    <w:rsid w:val="00337AFB"/>
    <w:rsid w:val="0034119D"/>
    <w:rsid w:val="003414A0"/>
    <w:rsid w:val="00343AB2"/>
    <w:rsid w:val="0034458D"/>
    <w:rsid w:val="00345F38"/>
    <w:rsid w:val="003467B9"/>
    <w:rsid w:val="00346FAB"/>
    <w:rsid w:val="00347C3F"/>
    <w:rsid w:val="00350A8B"/>
    <w:rsid w:val="00351514"/>
    <w:rsid w:val="00354A8A"/>
    <w:rsid w:val="00355F2C"/>
    <w:rsid w:val="003602C8"/>
    <w:rsid w:val="003610C3"/>
    <w:rsid w:val="00361FDC"/>
    <w:rsid w:val="00362B0B"/>
    <w:rsid w:val="00362CD4"/>
    <w:rsid w:val="00363565"/>
    <w:rsid w:val="00363DA6"/>
    <w:rsid w:val="0036433B"/>
    <w:rsid w:val="0036612C"/>
    <w:rsid w:val="003668F8"/>
    <w:rsid w:val="00366B69"/>
    <w:rsid w:val="00370B78"/>
    <w:rsid w:val="0037156E"/>
    <w:rsid w:val="003722D2"/>
    <w:rsid w:val="0037266D"/>
    <w:rsid w:val="003726B0"/>
    <w:rsid w:val="00372714"/>
    <w:rsid w:val="00372751"/>
    <w:rsid w:val="00373B7B"/>
    <w:rsid w:val="0037524D"/>
    <w:rsid w:val="00376098"/>
    <w:rsid w:val="003774AE"/>
    <w:rsid w:val="00377902"/>
    <w:rsid w:val="00381ED5"/>
    <w:rsid w:val="003839C1"/>
    <w:rsid w:val="00384715"/>
    <w:rsid w:val="00384A15"/>
    <w:rsid w:val="0038524E"/>
    <w:rsid w:val="00385619"/>
    <w:rsid w:val="00385721"/>
    <w:rsid w:val="003859CC"/>
    <w:rsid w:val="00390052"/>
    <w:rsid w:val="00392BA7"/>
    <w:rsid w:val="00392C92"/>
    <w:rsid w:val="00392DAD"/>
    <w:rsid w:val="00394374"/>
    <w:rsid w:val="00394941"/>
    <w:rsid w:val="00395BAC"/>
    <w:rsid w:val="003961A0"/>
    <w:rsid w:val="00396354"/>
    <w:rsid w:val="003975E4"/>
    <w:rsid w:val="003977C4"/>
    <w:rsid w:val="00397D1F"/>
    <w:rsid w:val="003A06C1"/>
    <w:rsid w:val="003A26B8"/>
    <w:rsid w:val="003A367E"/>
    <w:rsid w:val="003A374A"/>
    <w:rsid w:val="003A5AC7"/>
    <w:rsid w:val="003B0827"/>
    <w:rsid w:val="003B15A1"/>
    <w:rsid w:val="003B1782"/>
    <w:rsid w:val="003B24D5"/>
    <w:rsid w:val="003B2561"/>
    <w:rsid w:val="003B258E"/>
    <w:rsid w:val="003B3397"/>
    <w:rsid w:val="003B3ED8"/>
    <w:rsid w:val="003B4380"/>
    <w:rsid w:val="003B4E2F"/>
    <w:rsid w:val="003B5D31"/>
    <w:rsid w:val="003B61AA"/>
    <w:rsid w:val="003B6677"/>
    <w:rsid w:val="003C33E9"/>
    <w:rsid w:val="003C34BF"/>
    <w:rsid w:val="003C401E"/>
    <w:rsid w:val="003C4496"/>
    <w:rsid w:val="003C63B2"/>
    <w:rsid w:val="003C64C0"/>
    <w:rsid w:val="003C6A92"/>
    <w:rsid w:val="003C7205"/>
    <w:rsid w:val="003D03AF"/>
    <w:rsid w:val="003D158B"/>
    <w:rsid w:val="003D1E69"/>
    <w:rsid w:val="003D26BC"/>
    <w:rsid w:val="003D2E07"/>
    <w:rsid w:val="003D3D47"/>
    <w:rsid w:val="003E0020"/>
    <w:rsid w:val="003E01B3"/>
    <w:rsid w:val="003E0393"/>
    <w:rsid w:val="003E06E9"/>
    <w:rsid w:val="003E1361"/>
    <w:rsid w:val="003E18E5"/>
    <w:rsid w:val="003E2733"/>
    <w:rsid w:val="003E27A0"/>
    <w:rsid w:val="003E4EC2"/>
    <w:rsid w:val="003E5177"/>
    <w:rsid w:val="003E6D15"/>
    <w:rsid w:val="003F0427"/>
    <w:rsid w:val="003F1972"/>
    <w:rsid w:val="003F290D"/>
    <w:rsid w:val="003F3C2B"/>
    <w:rsid w:val="003F49C4"/>
    <w:rsid w:val="003F4C9F"/>
    <w:rsid w:val="003F7120"/>
    <w:rsid w:val="003F71A1"/>
    <w:rsid w:val="004002C9"/>
    <w:rsid w:val="0040066F"/>
    <w:rsid w:val="00401051"/>
    <w:rsid w:val="00401565"/>
    <w:rsid w:val="00402343"/>
    <w:rsid w:val="00402A8D"/>
    <w:rsid w:val="00402C58"/>
    <w:rsid w:val="00403348"/>
    <w:rsid w:val="0040392B"/>
    <w:rsid w:val="00403942"/>
    <w:rsid w:val="00403CC3"/>
    <w:rsid w:val="00404CE3"/>
    <w:rsid w:val="004061EB"/>
    <w:rsid w:val="00406857"/>
    <w:rsid w:val="00406FCF"/>
    <w:rsid w:val="00407FE0"/>
    <w:rsid w:val="0041001C"/>
    <w:rsid w:val="00411688"/>
    <w:rsid w:val="004116DC"/>
    <w:rsid w:val="00411760"/>
    <w:rsid w:val="004119B3"/>
    <w:rsid w:val="00413321"/>
    <w:rsid w:val="0041343D"/>
    <w:rsid w:val="004139A0"/>
    <w:rsid w:val="00414110"/>
    <w:rsid w:val="004146AF"/>
    <w:rsid w:val="00414BB9"/>
    <w:rsid w:val="0041623C"/>
    <w:rsid w:val="00416615"/>
    <w:rsid w:val="004172A0"/>
    <w:rsid w:val="00421D24"/>
    <w:rsid w:val="0042219F"/>
    <w:rsid w:val="00422272"/>
    <w:rsid w:val="0042478B"/>
    <w:rsid w:val="00425AFC"/>
    <w:rsid w:val="0042639E"/>
    <w:rsid w:val="00427A7F"/>
    <w:rsid w:val="004303AD"/>
    <w:rsid w:val="004305A0"/>
    <w:rsid w:val="00430B2D"/>
    <w:rsid w:val="004330EF"/>
    <w:rsid w:val="0043433C"/>
    <w:rsid w:val="00434DAB"/>
    <w:rsid w:val="00435132"/>
    <w:rsid w:val="0043519F"/>
    <w:rsid w:val="0043571B"/>
    <w:rsid w:val="00435D9B"/>
    <w:rsid w:val="004360FF"/>
    <w:rsid w:val="00436651"/>
    <w:rsid w:val="00436C9B"/>
    <w:rsid w:val="00436CE2"/>
    <w:rsid w:val="00437B15"/>
    <w:rsid w:val="004400EC"/>
    <w:rsid w:val="00440B28"/>
    <w:rsid w:val="00441A3A"/>
    <w:rsid w:val="00441BE3"/>
    <w:rsid w:val="00441EA5"/>
    <w:rsid w:val="00442928"/>
    <w:rsid w:val="00443985"/>
    <w:rsid w:val="0044398E"/>
    <w:rsid w:val="004443FB"/>
    <w:rsid w:val="00445B6C"/>
    <w:rsid w:val="004461AE"/>
    <w:rsid w:val="00450264"/>
    <w:rsid w:val="00450432"/>
    <w:rsid w:val="00451FAF"/>
    <w:rsid w:val="0045326E"/>
    <w:rsid w:val="00453E39"/>
    <w:rsid w:val="0045435A"/>
    <w:rsid w:val="0045660F"/>
    <w:rsid w:val="00456E03"/>
    <w:rsid w:val="00457DBB"/>
    <w:rsid w:val="004612DB"/>
    <w:rsid w:val="00462E54"/>
    <w:rsid w:val="00463C55"/>
    <w:rsid w:val="004643A8"/>
    <w:rsid w:val="00464AB6"/>
    <w:rsid w:val="00466A32"/>
    <w:rsid w:val="00467FC0"/>
    <w:rsid w:val="004701BD"/>
    <w:rsid w:val="004703EB"/>
    <w:rsid w:val="0047041B"/>
    <w:rsid w:val="00470E12"/>
    <w:rsid w:val="004711DC"/>
    <w:rsid w:val="00471263"/>
    <w:rsid w:val="00471439"/>
    <w:rsid w:val="004723F2"/>
    <w:rsid w:val="00472915"/>
    <w:rsid w:val="00473096"/>
    <w:rsid w:val="004746A3"/>
    <w:rsid w:val="004747EC"/>
    <w:rsid w:val="00474E28"/>
    <w:rsid w:val="00475173"/>
    <w:rsid w:val="004765EB"/>
    <w:rsid w:val="0047757C"/>
    <w:rsid w:val="004775FF"/>
    <w:rsid w:val="00477DE6"/>
    <w:rsid w:val="004804E5"/>
    <w:rsid w:val="00481538"/>
    <w:rsid w:val="00482389"/>
    <w:rsid w:val="00482979"/>
    <w:rsid w:val="00484871"/>
    <w:rsid w:val="00485BE6"/>
    <w:rsid w:val="00486DEC"/>
    <w:rsid w:val="004871C8"/>
    <w:rsid w:val="00487411"/>
    <w:rsid w:val="00487EE6"/>
    <w:rsid w:val="00490838"/>
    <w:rsid w:val="004917ED"/>
    <w:rsid w:val="004925E7"/>
    <w:rsid w:val="004938C2"/>
    <w:rsid w:val="00493FC5"/>
    <w:rsid w:val="0049405A"/>
    <w:rsid w:val="004949B3"/>
    <w:rsid w:val="00495B76"/>
    <w:rsid w:val="004964E9"/>
    <w:rsid w:val="00496865"/>
    <w:rsid w:val="00496AA5"/>
    <w:rsid w:val="00496FD9"/>
    <w:rsid w:val="00497055"/>
    <w:rsid w:val="00497903"/>
    <w:rsid w:val="00497BE2"/>
    <w:rsid w:val="004A0C09"/>
    <w:rsid w:val="004A10C3"/>
    <w:rsid w:val="004A1221"/>
    <w:rsid w:val="004A3023"/>
    <w:rsid w:val="004A55A1"/>
    <w:rsid w:val="004A5A01"/>
    <w:rsid w:val="004A627F"/>
    <w:rsid w:val="004A66C5"/>
    <w:rsid w:val="004A6B87"/>
    <w:rsid w:val="004A6CBB"/>
    <w:rsid w:val="004A7300"/>
    <w:rsid w:val="004A77C4"/>
    <w:rsid w:val="004B19E4"/>
    <w:rsid w:val="004B28AE"/>
    <w:rsid w:val="004B4208"/>
    <w:rsid w:val="004B440C"/>
    <w:rsid w:val="004B4A8C"/>
    <w:rsid w:val="004B4EC1"/>
    <w:rsid w:val="004B545A"/>
    <w:rsid w:val="004B57B9"/>
    <w:rsid w:val="004B5CCC"/>
    <w:rsid w:val="004B66A3"/>
    <w:rsid w:val="004B6F43"/>
    <w:rsid w:val="004B75B9"/>
    <w:rsid w:val="004B7C01"/>
    <w:rsid w:val="004C220B"/>
    <w:rsid w:val="004C2C16"/>
    <w:rsid w:val="004C36DB"/>
    <w:rsid w:val="004C3913"/>
    <w:rsid w:val="004C4A46"/>
    <w:rsid w:val="004C4AFD"/>
    <w:rsid w:val="004C57E0"/>
    <w:rsid w:val="004C5A57"/>
    <w:rsid w:val="004C5EC9"/>
    <w:rsid w:val="004C71AA"/>
    <w:rsid w:val="004D1138"/>
    <w:rsid w:val="004D22CE"/>
    <w:rsid w:val="004D4348"/>
    <w:rsid w:val="004D5D49"/>
    <w:rsid w:val="004D6081"/>
    <w:rsid w:val="004D66F5"/>
    <w:rsid w:val="004D6C33"/>
    <w:rsid w:val="004D76AF"/>
    <w:rsid w:val="004D7969"/>
    <w:rsid w:val="004D797C"/>
    <w:rsid w:val="004D7F55"/>
    <w:rsid w:val="004E0888"/>
    <w:rsid w:val="004E16CF"/>
    <w:rsid w:val="004E2260"/>
    <w:rsid w:val="004E361A"/>
    <w:rsid w:val="004E3BF4"/>
    <w:rsid w:val="004E528E"/>
    <w:rsid w:val="004E7E06"/>
    <w:rsid w:val="004F100C"/>
    <w:rsid w:val="004F1EB5"/>
    <w:rsid w:val="004F3507"/>
    <w:rsid w:val="004F4564"/>
    <w:rsid w:val="004F4895"/>
    <w:rsid w:val="004F54A0"/>
    <w:rsid w:val="004F5AA8"/>
    <w:rsid w:val="004F6B1E"/>
    <w:rsid w:val="004F6C72"/>
    <w:rsid w:val="004F737C"/>
    <w:rsid w:val="00500287"/>
    <w:rsid w:val="00500AC0"/>
    <w:rsid w:val="00501C92"/>
    <w:rsid w:val="00501EDC"/>
    <w:rsid w:val="005023F4"/>
    <w:rsid w:val="00502C6D"/>
    <w:rsid w:val="005036E1"/>
    <w:rsid w:val="00503A43"/>
    <w:rsid w:val="0050557C"/>
    <w:rsid w:val="00507068"/>
    <w:rsid w:val="00507077"/>
    <w:rsid w:val="00507CDB"/>
    <w:rsid w:val="00510F0E"/>
    <w:rsid w:val="00511824"/>
    <w:rsid w:val="00511E1E"/>
    <w:rsid w:val="00512B14"/>
    <w:rsid w:val="00512CAC"/>
    <w:rsid w:val="00516991"/>
    <w:rsid w:val="005203CB"/>
    <w:rsid w:val="005206D2"/>
    <w:rsid w:val="00520F1C"/>
    <w:rsid w:val="00520FCB"/>
    <w:rsid w:val="00521056"/>
    <w:rsid w:val="00521A0C"/>
    <w:rsid w:val="00523C31"/>
    <w:rsid w:val="0052421A"/>
    <w:rsid w:val="005259CF"/>
    <w:rsid w:val="00526677"/>
    <w:rsid w:val="00527280"/>
    <w:rsid w:val="00527B18"/>
    <w:rsid w:val="00527D60"/>
    <w:rsid w:val="00530806"/>
    <w:rsid w:val="005321A6"/>
    <w:rsid w:val="005323BD"/>
    <w:rsid w:val="0053406A"/>
    <w:rsid w:val="0053511A"/>
    <w:rsid w:val="00535FEB"/>
    <w:rsid w:val="005363A2"/>
    <w:rsid w:val="005370D7"/>
    <w:rsid w:val="00537A00"/>
    <w:rsid w:val="005413F2"/>
    <w:rsid w:val="00541A78"/>
    <w:rsid w:val="00542F7B"/>
    <w:rsid w:val="0054321E"/>
    <w:rsid w:val="005435E9"/>
    <w:rsid w:val="0054451B"/>
    <w:rsid w:val="00546311"/>
    <w:rsid w:val="00546432"/>
    <w:rsid w:val="00546A6C"/>
    <w:rsid w:val="00547497"/>
    <w:rsid w:val="0054774D"/>
    <w:rsid w:val="00550250"/>
    <w:rsid w:val="0055032F"/>
    <w:rsid w:val="00550A6E"/>
    <w:rsid w:val="00550F55"/>
    <w:rsid w:val="005510BE"/>
    <w:rsid w:val="00551886"/>
    <w:rsid w:val="00551C76"/>
    <w:rsid w:val="00552C25"/>
    <w:rsid w:val="00553642"/>
    <w:rsid w:val="005549E6"/>
    <w:rsid w:val="00557E87"/>
    <w:rsid w:val="00561C01"/>
    <w:rsid w:val="00561C1D"/>
    <w:rsid w:val="005636E2"/>
    <w:rsid w:val="00564176"/>
    <w:rsid w:val="00565C88"/>
    <w:rsid w:val="00565D8B"/>
    <w:rsid w:val="00565EDD"/>
    <w:rsid w:val="00570502"/>
    <w:rsid w:val="0057088D"/>
    <w:rsid w:val="00571837"/>
    <w:rsid w:val="00571989"/>
    <w:rsid w:val="00571A72"/>
    <w:rsid w:val="00571E58"/>
    <w:rsid w:val="00572C47"/>
    <w:rsid w:val="005730E8"/>
    <w:rsid w:val="00575273"/>
    <w:rsid w:val="00576311"/>
    <w:rsid w:val="00576E6F"/>
    <w:rsid w:val="005803E1"/>
    <w:rsid w:val="00581008"/>
    <w:rsid w:val="005817A0"/>
    <w:rsid w:val="00582796"/>
    <w:rsid w:val="00582CC0"/>
    <w:rsid w:val="00584776"/>
    <w:rsid w:val="00584B29"/>
    <w:rsid w:val="00584DA5"/>
    <w:rsid w:val="00585524"/>
    <w:rsid w:val="00585D82"/>
    <w:rsid w:val="00586236"/>
    <w:rsid w:val="00586D32"/>
    <w:rsid w:val="00586E9F"/>
    <w:rsid w:val="00587BF6"/>
    <w:rsid w:val="00587DD2"/>
    <w:rsid w:val="00590B54"/>
    <w:rsid w:val="00590F76"/>
    <w:rsid w:val="00592374"/>
    <w:rsid w:val="00593498"/>
    <w:rsid w:val="00593DFF"/>
    <w:rsid w:val="00594BDD"/>
    <w:rsid w:val="00594EE5"/>
    <w:rsid w:val="00595147"/>
    <w:rsid w:val="00595254"/>
    <w:rsid w:val="00595B48"/>
    <w:rsid w:val="0059725E"/>
    <w:rsid w:val="005975DE"/>
    <w:rsid w:val="005A1297"/>
    <w:rsid w:val="005A2E3A"/>
    <w:rsid w:val="005A3449"/>
    <w:rsid w:val="005A3B1A"/>
    <w:rsid w:val="005A40EE"/>
    <w:rsid w:val="005A437D"/>
    <w:rsid w:val="005A50C4"/>
    <w:rsid w:val="005A58F3"/>
    <w:rsid w:val="005A675E"/>
    <w:rsid w:val="005A72AC"/>
    <w:rsid w:val="005A7BA6"/>
    <w:rsid w:val="005B0ACC"/>
    <w:rsid w:val="005B12E9"/>
    <w:rsid w:val="005B2386"/>
    <w:rsid w:val="005B2AC1"/>
    <w:rsid w:val="005B2DF6"/>
    <w:rsid w:val="005B3677"/>
    <w:rsid w:val="005B402B"/>
    <w:rsid w:val="005B46E4"/>
    <w:rsid w:val="005B4F4E"/>
    <w:rsid w:val="005B539F"/>
    <w:rsid w:val="005B70C2"/>
    <w:rsid w:val="005B7162"/>
    <w:rsid w:val="005B78AE"/>
    <w:rsid w:val="005C089B"/>
    <w:rsid w:val="005C0F3C"/>
    <w:rsid w:val="005C110C"/>
    <w:rsid w:val="005C168D"/>
    <w:rsid w:val="005C24CD"/>
    <w:rsid w:val="005C30F5"/>
    <w:rsid w:val="005C33D3"/>
    <w:rsid w:val="005C39B3"/>
    <w:rsid w:val="005C548B"/>
    <w:rsid w:val="005C77E9"/>
    <w:rsid w:val="005C787A"/>
    <w:rsid w:val="005D154C"/>
    <w:rsid w:val="005D24B2"/>
    <w:rsid w:val="005D25C7"/>
    <w:rsid w:val="005D2B39"/>
    <w:rsid w:val="005D370A"/>
    <w:rsid w:val="005D5F7C"/>
    <w:rsid w:val="005D6AD3"/>
    <w:rsid w:val="005D7735"/>
    <w:rsid w:val="005E0730"/>
    <w:rsid w:val="005E19DE"/>
    <w:rsid w:val="005E2149"/>
    <w:rsid w:val="005E2D8B"/>
    <w:rsid w:val="005E348B"/>
    <w:rsid w:val="005E35C5"/>
    <w:rsid w:val="005E3D4A"/>
    <w:rsid w:val="005E4104"/>
    <w:rsid w:val="005E4FFE"/>
    <w:rsid w:val="005E55F4"/>
    <w:rsid w:val="005E62A3"/>
    <w:rsid w:val="005F08D2"/>
    <w:rsid w:val="005F1DD0"/>
    <w:rsid w:val="005F2AF6"/>
    <w:rsid w:val="005F2C3C"/>
    <w:rsid w:val="005F2D7C"/>
    <w:rsid w:val="005F2DB0"/>
    <w:rsid w:val="005F5061"/>
    <w:rsid w:val="005F78C8"/>
    <w:rsid w:val="005F7BE2"/>
    <w:rsid w:val="005F7FE9"/>
    <w:rsid w:val="006005A3"/>
    <w:rsid w:val="00600E3B"/>
    <w:rsid w:val="006010E5"/>
    <w:rsid w:val="00601D8B"/>
    <w:rsid w:val="00603390"/>
    <w:rsid w:val="006034ED"/>
    <w:rsid w:val="006035F8"/>
    <w:rsid w:val="00604559"/>
    <w:rsid w:val="00604A8A"/>
    <w:rsid w:val="00610D05"/>
    <w:rsid w:val="00612426"/>
    <w:rsid w:val="00612DE8"/>
    <w:rsid w:val="00613A9E"/>
    <w:rsid w:val="00613CB7"/>
    <w:rsid w:val="00613D1C"/>
    <w:rsid w:val="00614431"/>
    <w:rsid w:val="00614CAC"/>
    <w:rsid w:val="00615AC5"/>
    <w:rsid w:val="0061623E"/>
    <w:rsid w:val="006178ED"/>
    <w:rsid w:val="00617EF5"/>
    <w:rsid w:val="006210EC"/>
    <w:rsid w:val="006214A5"/>
    <w:rsid w:val="006218A5"/>
    <w:rsid w:val="006221D5"/>
    <w:rsid w:val="006223C7"/>
    <w:rsid w:val="006229CC"/>
    <w:rsid w:val="006234FF"/>
    <w:rsid w:val="006236B3"/>
    <w:rsid w:val="00624AD6"/>
    <w:rsid w:val="00624B6C"/>
    <w:rsid w:val="006250F2"/>
    <w:rsid w:val="006259A6"/>
    <w:rsid w:val="00625F82"/>
    <w:rsid w:val="00626D83"/>
    <w:rsid w:val="006303DF"/>
    <w:rsid w:val="0063175E"/>
    <w:rsid w:val="0063195F"/>
    <w:rsid w:val="006326BC"/>
    <w:rsid w:val="00632D9C"/>
    <w:rsid w:val="00632DE5"/>
    <w:rsid w:val="006332A4"/>
    <w:rsid w:val="006345A2"/>
    <w:rsid w:val="0063516F"/>
    <w:rsid w:val="006351B6"/>
    <w:rsid w:val="00635CC7"/>
    <w:rsid w:val="006364D0"/>
    <w:rsid w:val="0063698E"/>
    <w:rsid w:val="00636E76"/>
    <w:rsid w:val="00637348"/>
    <w:rsid w:val="006376F4"/>
    <w:rsid w:val="00640D4E"/>
    <w:rsid w:val="00641721"/>
    <w:rsid w:val="00642479"/>
    <w:rsid w:val="0064250E"/>
    <w:rsid w:val="00642522"/>
    <w:rsid w:val="00642536"/>
    <w:rsid w:val="006430CA"/>
    <w:rsid w:val="00643380"/>
    <w:rsid w:val="00643598"/>
    <w:rsid w:val="00643D9C"/>
    <w:rsid w:val="00644E50"/>
    <w:rsid w:val="00645478"/>
    <w:rsid w:val="00645655"/>
    <w:rsid w:val="00650BB5"/>
    <w:rsid w:val="00650FDF"/>
    <w:rsid w:val="0065289C"/>
    <w:rsid w:val="00652B48"/>
    <w:rsid w:val="0065310B"/>
    <w:rsid w:val="00653732"/>
    <w:rsid w:val="0065383B"/>
    <w:rsid w:val="00654727"/>
    <w:rsid w:val="00656328"/>
    <w:rsid w:val="00657F11"/>
    <w:rsid w:val="00660DD5"/>
    <w:rsid w:val="00662F33"/>
    <w:rsid w:val="006636DC"/>
    <w:rsid w:val="00664EF1"/>
    <w:rsid w:val="006658CE"/>
    <w:rsid w:val="006660DF"/>
    <w:rsid w:val="006710B4"/>
    <w:rsid w:val="0067129A"/>
    <w:rsid w:val="00672675"/>
    <w:rsid w:val="00672899"/>
    <w:rsid w:val="00673450"/>
    <w:rsid w:val="00673E98"/>
    <w:rsid w:val="0067458B"/>
    <w:rsid w:val="006749E4"/>
    <w:rsid w:val="00674DD5"/>
    <w:rsid w:val="006753A2"/>
    <w:rsid w:val="006754B9"/>
    <w:rsid w:val="00676564"/>
    <w:rsid w:val="0067725A"/>
    <w:rsid w:val="00677704"/>
    <w:rsid w:val="0068114E"/>
    <w:rsid w:val="00681491"/>
    <w:rsid w:val="00681A27"/>
    <w:rsid w:val="00682359"/>
    <w:rsid w:val="00682852"/>
    <w:rsid w:val="006834A9"/>
    <w:rsid w:val="006840EC"/>
    <w:rsid w:val="00684462"/>
    <w:rsid w:val="006854FB"/>
    <w:rsid w:val="006857F8"/>
    <w:rsid w:val="00685CE3"/>
    <w:rsid w:val="00685FD4"/>
    <w:rsid w:val="00686DC3"/>
    <w:rsid w:val="00690A37"/>
    <w:rsid w:val="0069192E"/>
    <w:rsid w:val="0069290D"/>
    <w:rsid w:val="006929AB"/>
    <w:rsid w:val="00692F4A"/>
    <w:rsid w:val="00692F66"/>
    <w:rsid w:val="0069336E"/>
    <w:rsid w:val="006938EF"/>
    <w:rsid w:val="00694729"/>
    <w:rsid w:val="00695D11"/>
    <w:rsid w:val="0069663B"/>
    <w:rsid w:val="00696C8A"/>
    <w:rsid w:val="0069759D"/>
    <w:rsid w:val="006A05F5"/>
    <w:rsid w:val="006A1785"/>
    <w:rsid w:val="006A1DE1"/>
    <w:rsid w:val="006A26E2"/>
    <w:rsid w:val="006A2A3D"/>
    <w:rsid w:val="006A2B2F"/>
    <w:rsid w:val="006A2C7E"/>
    <w:rsid w:val="006A33C4"/>
    <w:rsid w:val="006A3506"/>
    <w:rsid w:val="006A4FC3"/>
    <w:rsid w:val="006A770C"/>
    <w:rsid w:val="006B105F"/>
    <w:rsid w:val="006B14E8"/>
    <w:rsid w:val="006B1FBF"/>
    <w:rsid w:val="006B2EBF"/>
    <w:rsid w:val="006B32BD"/>
    <w:rsid w:val="006B38DC"/>
    <w:rsid w:val="006B3E40"/>
    <w:rsid w:val="006B4399"/>
    <w:rsid w:val="006B46FA"/>
    <w:rsid w:val="006B4DB5"/>
    <w:rsid w:val="006B5B5A"/>
    <w:rsid w:val="006B5CD8"/>
    <w:rsid w:val="006B669A"/>
    <w:rsid w:val="006B77AF"/>
    <w:rsid w:val="006B79E0"/>
    <w:rsid w:val="006C0037"/>
    <w:rsid w:val="006C0DFE"/>
    <w:rsid w:val="006C3134"/>
    <w:rsid w:val="006C41E8"/>
    <w:rsid w:val="006C445E"/>
    <w:rsid w:val="006C4AFA"/>
    <w:rsid w:val="006C6522"/>
    <w:rsid w:val="006C712C"/>
    <w:rsid w:val="006D0503"/>
    <w:rsid w:val="006D05B5"/>
    <w:rsid w:val="006D09DA"/>
    <w:rsid w:val="006D0CA1"/>
    <w:rsid w:val="006D0E44"/>
    <w:rsid w:val="006D171E"/>
    <w:rsid w:val="006D1D17"/>
    <w:rsid w:val="006D2FE2"/>
    <w:rsid w:val="006D4CD0"/>
    <w:rsid w:val="006D4DAD"/>
    <w:rsid w:val="006D526D"/>
    <w:rsid w:val="006D59F5"/>
    <w:rsid w:val="006D5EBE"/>
    <w:rsid w:val="006D7101"/>
    <w:rsid w:val="006D79A9"/>
    <w:rsid w:val="006D7B85"/>
    <w:rsid w:val="006D7F5B"/>
    <w:rsid w:val="006E4D4E"/>
    <w:rsid w:val="006E608E"/>
    <w:rsid w:val="006F1BEC"/>
    <w:rsid w:val="006F346C"/>
    <w:rsid w:val="006F3A2A"/>
    <w:rsid w:val="006F502E"/>
    <w:rsid w:val="006F65BA"/>
    <w:rsid w:val="006F6BAA"/>
    <w:rsid w:val="006F75B2"/>
    <w:rsid w:val="006F7902"/>
    <w:rsid w:val="00700D89"/>
    <w:rsid w:val="00701305"/>
    <w:rsid w:val="00701AEF"/>
    <w:rsid w:val="007023CE"/>
    <w:rsid w:val="00702F45"/>
    <w:rsid w:val="007030A2"/>
    <w:rsid w:val="00704258"/>
    <w:rsid w:val="00704AAD"/>
    <w:rsid w:val="00704F39"/>
    <w:rsid w:val="00705A86"/>
    <w:rsid w:val="00705EA2"/>
    <w:rsid w:val="00706756"/>
    <w:rsid w:val="00706F32"/>
    <w:rsid w:val="007071B3"/>
    <w:rsid w:val="00707558"/>
    <w:rsid w:val="00707C81"/>
    <w:rsid w:val="00713136"/>
    <w:rsid w:val="0071322D"/>
    <w:rsid w:val="00714915"/>
    <w:rsid w:val="00714B2E"/>
    <w:rsid w:val="00715027"/>
    <w:rsid w:val="00715A69"/>
    <w:rsid w:val="00717198"/>
    <w:rsid w:val="00717CA7"/>
    <w:rsid w:val="00720C26"/>
    <w:rsid w:val="00721346"/>
    <w:rsid w:val="00721EFD"/>
    <w:rsid w:val="007229EF"/>
    <w:rsid w:val="00724695"/>
    <w:rsid w:val="00726EA1"/>
    <w:rsid w:val="00727A3D"/>
    <w:rsid w:val="00727B34"/>
    <w:rsid w:val="00727B83"/>
    <w:rsid w:val="007307BD"/>
    <w:rsid w:val="00732FC5"/>
    <w:rsid w:val="00735B35"/>
    <w:rsid w:val="0073683F"/>
    <w:rsid w:val="0073695E"/>
    <w:rsid w:val="007369EE"/>
    <w:rsid w:val="00736B84"/>
    <w:rsid w:val="00736D9E"/>
    <w:rsid w:val="00737D36"/>
    <w:rsid w:val="007403AA"/>
    <w:rsid w:val="0074047D"/>
    <w:rsid w:val="00740879"/>
    <w:rsid w:val="00742049"/>
    <w:rsid w:val="007427D9"/>
    <w:rsid w:val="00743391"/>
    <w:rsid w:val="007446F5"/>
    <w:rsid w:val="0074513F"/>
    <w:rsid w:val="007453F2"/>
    <w:rsid w:val="00745C24"/>
    <w:rsid w:val="00745EC5"/>
    <w:rsid w:val="007460F0"/>
    <w:rsid w:val="00746149"/>
    <w:rsid w:val="00750709"/>
    <w:rsid w:val="007510ED"/>
    <w:rsid w:val="00751330"/>
    <w:rsid w:val="00752118"/>
    <w:rsid w:val="007524BD"/>
    <w:rsid w:val="0075257E"/>
    <w:rsid w:val="007528BC"/>
    <w:rsid w:val="0075492A"/>
    <w:rsid w:val="00756AF6"/>
    <w:rsid w:val="0075762E"/>
    <w:rsid w:val="0076011B"/>
    <w:rsid w:val="00760427"/>
    <w:rsid w:val="00760840"/>
    <w:rsid w:val="00760874"/>
    <w:rsid w:val="007608F9"/>
    <w:rsid w:val="00760D96"/>
    <w:rsid w:val="00761398"/>
    <w:rsid w:val="0076245B"/>
    <w:rsid w:val="00762BF6"/>
    <w:rsid w:val="00764A34"/>
    <w:rsid w:val="00765EFA"/>
    <w:rsid w:val="007666A7"/>
    <w:rsid w:val="007676E8"/>
    <w:rsid w:val="00767CEC"/>
    <w:rsid w:val="00767F23"/>
    <w:rsid w:val="00770128"/>
    <w:rsid w:val="00771829"/>
    <w:rsid w:val="00771ADD"/>
    <w:rsid w:val="007720BF"/>
    <w:rsid w:val="0077236A"/>
    <w:rsid w:val="007725C7"/>
    <w:rsid w:val="007726C4"/>
    <w:rsid w:val="0077301C"/>
    <w:rsid w:val="007738DB"/>
    <w:rsid w:val="00773AC9"/>
    <w:rsid w:val="00774040"/>
    <w:rsid w:val="0077563B"/>
    <w:rsid w:val="0077594B"/>
    <w:rsid w:val="00776BF0"/>
    <w:rsid w:val="0077745B"/>
    <w:rsid w:val="00780D2C"/>
    <w:rsid w:val="0078288C"/>
    <w:rsid w:val="0078345D"/>
    <w:rsid w:val="0078383B"/>
    <w:rsid w:val="00783A9D"/>
    <w:rsid w:val="007842D4"/>
    <w:rsid w:val="00784B96"/>
    <w:rsid w:val="007851DE"/>
    <w:rsid w:val="007852EE"/>
    <w:rsid w:val="007873DC"/>
    <w:rsid w:val="0078744B"/>
    <w:rsid w:val="0078773D"/>
    <w:rsid w:val="007878F2"/>
    <w:rsid w:val="0079029B"/>
    <w:rsid w:val="007902E2"/>
    <w:rsid w:val="00791E6C"/>
    <w:rsid w:val="0079219D"/>
    <w:rsid w:val="00793E67"/>
    <w:rsid w:val="0079470B"/>
    <w:rsid w:val="00795787"/>
    <w:rsid w:val="0079749E"/>
    <w:rsid w:val="007A0A49"/>
    <w:rsid w:val="007A13D2"/>
    <w:rsid w:val="007A3473"/>
    <w:rsid w:val="007A387E"/>
    <w:rsid w:val="007A3E00"/>
    <w:rsid w:val="007A4EA1"/>
    <w:rsid w:val="007A539E"/>
    <w:rsid w:val="007A6070"/>
    <w:rsid w:val="007A69D8"/>
    <w:rsid w:val="007A7E67"/>
    <w:rsid w:val="007B0099"/>
    <w:rsid w:val="007B01A8"/>
    <w:rsid w:val="007B33C7"/>
    <w:rsid w:val="007B39D6"/>
    <w:rsid w:val="007B5A9C"/>
    <w:rsid w:val="007B67A7"/>
    <w:rsid w:val="007B6B36"/>
    <w:rsid w:val="007B78D1"/>
    <w:rsid w:val="007C262F"/>
    <w:rsid w:val="007C40E2"/>
    <w:rsid w:val="007C439B"/>
    <w:rsid w:val="007C4AE3"/>
    <w:rsid w:val="007C5D58"/>
    <w:rsid w:val="007C5FA8"/>
    <w:rsid w:val="007C6066"/>
    <w:rsid w:val="007C627B"/>
    <w:rsid w:val="007C65D1"/>
    <w:rsid w:val="007C6B7B"/>
    <w:rsid w:val="007D0F1B"/>
    <w:rsid w:val="007D1FBB"/>
    <w:rsid w:val="007D2638"/>
    <w:rsid w:val="007D26A2"/>
    <w:rsid w:val="007D2961"/>
    <w:rsid w:val="007D4DB3"/>
    <w:rsid w:val="007D534C"/>
    <w:rsid w:val="007D5991"/>
    <w:rsid w:val="007D6E11"/>
    <w:rsid w:val="007E0508"/>
    <w:rsid w:val="007E0847"/>
    <w:rsid w:val="007E10C6"/>
    <w:rsid w:val="007E20F3"/>
    <w:rsid w:val="007E35ED"/>
    <w:rsid w:val="007E426F"/>
    <w:rsid w:val="007E4FE0"/>
    <w:rsid w:val="007E5DCD"/>
    <w:rsid w:val="007E665D"/>
    <w:rsid w:val="007E6E29"/>
    <w:rsid w:val="007F0F2D"/>
    <w:rsid w:val="007F1DA7"/>
    <w:rsid w:val="007F1DCB"/>
    <w:rsid w:val="007F1FE3"/>
    <w:rsid w:val="007F3E11"/>
    <w:rsid w:val="007F3F95"/>
    <w:rsid w:val="007F42FC"/>
    <w:rsid w:val="007F46A3"/>
    <w:rsid w:val="007F696E"/>
    <w:rsid w:val="0080101E"/>
    <w:rsid w:val="00801316"/>
    <w:rsid w:val="00801651"/>
    <w:rsid w:val="008051E9"/>
    <w:rsid w:val="00805CD7"/>
    <w:rsid w:val="0080606B"/>
    <w:rsid w:val="00806DFB"/>
    <w:rsid w:val="0080756E"/>
    <w:rsid w:val="00807963"/>
    <w:rsid w:val="0081124A"/>
    <w:rsid w:val="0081184D"/>
    <w:rsid w:val="008126A0"/>
    <w:rsid w:val="008133F3"/>
    <w:rsid w:val="00813BEF"/>
    <w:rsid w:val="00813F37"/>
    <w:rsid w:val="008142BC"/>
    <w:rsid w:val="00814B29"/>
    <w:rsid w:val="00815255"/>
    <w:rsid w:val="00815566"/>
    <w:rsid w:val="00817B7F"/>
    <w:rsid w:val="00821ECE"/>
    <w:rsid w:val="0082280D"/>
    <w:rsid w:val="00823A90"/>
    <w:rsid w:val="00824541"/>
    <w:rsid w:val="008249EF"/>
    <w:rsid w:val="00825813"/>
    <w:rsid w:val="008261D8"/>
    <w:rsid w:val="008266C3"/>
    <w:rsid w:val="008266D6"/>
    <w:rsid w:val="00826E34"/>
    <w:rsid w:val="0082726D"/>
    <w:rsid w:val="00831104"/>
    <w:rsid w:val="008318F4"/>
    <w:rsid w:val="00831D47"/>
    <w:rsid w:val="00831DCE"/>
    <w:rsid w:val="00833260"/>
    <w:rsid w:val="008339AD"/>
    <w:rsid w:val="008339D7"/>
    <w:rsid w:val="00834D4A"/>
    <w:rsid w:val="00834EF0"/>
    <w:rsid w:val="0083602B"/>
    <w:rsid w:val="00836431"/>
    <w:rsid w:val="00836EA8"/>
    <w:rsid w:val="0083792E"/>
    <w:rsid w:val="00840411"/>
    <w:rsid w:val="00840B68"/>
    <w:rsid w:val="00841611"/>
    <w:rsid w:val="0084299E"/>
    <w:rsid w:val="0084391B"/>
    <w:rsid w:val="00844B25"/>
    <w:rsid w:val="00845774"/>
    <w:rsid w:val="0084648B"/>
    <w:rsid w:val="008468B3"/>
    <w:rsid w:val="00846F23"/>
    <w:rsid w:val="008471F2"/>
    <w:rsid w:val="008472A2"/>
    <w:rsid w:val="008505B2"/>
    <w:rsid w:val="008509A4"/>
    <w:rsid w:val="00851355"/>
    <w:rsid w:val="00854BB5"/>
    <w:rsid w:val="00854BF6"/>
    <w:rsid w:val="00855BD8"/>
    <w:rsid w:val="008561CC"/>
    <w:rsid w:val="008565BB"/>
    <w:rsid w:val="00856D49"/>
    <w:rsid w:val="00861362"/>
    <w:rsid w:val="0086190E"/>
    <w:rsid w:val="00862948"/>
    <w:rsid w:val="00864EBD"/>
    <w:rsid w:val="008652FF"/>
    <w:rsid w:val="00865418"/>
    <w:rsid w:val="00867A3D"/>
    <w:rsid w:val="008701F9"/>
    <w:rsid w:val="00871EDF"/>
    <w:rsid w:val="00873D1D"/>
    <w:rsid w:val="00874034"/>
    <w:rsid w:val="00880992"/>
    <w:rsid w:val="008809C3"/>
    <w:rsid w:val="008819BE"/>
    <w:rsid w:val="008821E6"/>
    <w:rsid w:val="0088282C"/>
    <w:rsid w:val="00882DEF"/>
    <w:rsid w:val="008830B4"/>
    <w:rsid w:val="0088397D"/>
    <w:rsid w:val="00884644"/>
    <w:rsid w:val="0088659F"/>
    <w:rsid w:val="00886D0A"/>
    <w:rsid w:val="008874FD"/>
    <w:rsid w:val="00887BFD"/>
    <w:rsid w:val="00890865"/>
    <w:rsid w:val="00890D46"/>
    <w:rsid w:val="00896570"/>
    <w:rsid w:val="00896689"/>
    <w:rsid w:val="00896E89"/>
    <w:rsid w:val="00897791"/>
    <w:rsid w:val="008A1B3B"/>
    <w:rsid w:val="008A2D71"/>
    <w:rsid w:val="008A303F"/>
    <w:rsid w:val="008A325C"/>
    <w:rsid w:val="008A3E88"/>
    <w:rsid w:val="008A4089"/>
    <w:rsid w:val="008A446E"/>
    <w:rsid w:val="008A4685"/>
    <w:rsid w:val="008A4CC5"/>
    <w:rsid w:val="008A6768"/>
    <w:rsid w:val="008A7ED2"/>
    <w:rsid w:val="008B13B0"/>
    <w:rsid w:val="008B36EB"/>
    <w:rsid w:val="008B3D22"/>
    <w:rsid w:val="008B3D4C"/>
    <w:rsid w:val="008B6097"/>
    <w:rsid w:val="008B61B8"/>
    <w:rsid w:val="008B63D1"/>
    <w:rsid w:val="008B797D"/>
    <w:rsid w:val="008C061E"/>
    <w:rsid w:val="008C1D7E"/>
    <w:rsid w:val="008C2F4F"/>
    <w:rsid w:val="008C374A"/>
    <w:rsid w:val="008C3BF9"/>
    <w:rsid w:val="008C3C54"/>
    <w:rsid w:val="008C4BBA"/>
    <w:rsid w:val="008C5B68"/>
    <w:rsid w:val="008C6F1E"/>
    <w:rsid w:val="008C73FE"/>
    <w:rsid w:val="008C7F7D"/>
    <w:rsid w:val="008D126B"/>
    <w:rsid w:val="008D13EF"/>
    <w:rsid w:val="008D2596"/>
    <w:rsid w:val="008D2F20"/>
    <w:rsid w:val="008D2F5A"/>
    <w:rsid w:val="008D3170"/>
    <w:rsid w:val="008D4C6D"/>
    <w:rsid w:val="008D58A6"/>
    <w:rsid w:val="008D617D"/>
    <w:rsid w:val="008D7673"/>
    <w:rsid w:val="008E0CCA"/>
    <w:rsid w:val="008E1261"/>
    <w:rsid w:val="008E29DA"/>
    <w:rsid w:val="008E430C"/>
    <w:rsid w:val="008E4511"/>
    <w:rsid w:val="008E5006"/>
    <w:rsid w:val="008E52FE"/>
    <w:rsid w:val="008E6026"/>
    <w:rsid w:val="008E647A"/>
    <w:rsid w:val="008E74CD"/>
    <w:rsid w:val="008E7C47"/>
    <w:rsid w:val="008F0DEA"/>
    <w:rsid w:val="008F0E8E"/>
    <w:rsid w:val="008F1AB2"/>
    <w:rsid w:val="008F3345"/>
    <w:rsid w:val="008F5750"/>
    <w:rsid w:val="008F6851"/>
    <w:rsid w:val="008F7999"/>
    <w:rsid w:val="00900564"/>
    <w:rsid w:val="0090296B"/>
    <w:rsid w:val="009032FF"/>
    <w:rsid w:val="00903746"/>
    <w:rsid w:val="009040B5"/>
    <w:rsid w:val="00904700"/>
    <w:rsid w:val="00904BE0"/>
    <w:rsid w:val="0090559D"/>
    <w:rsid w:val="00906940"/>
    <w:rsid w:val="00906CE8"/>
    <w:rsid w:val="00906E1C"/>
    <w:rsid w:val="009070AE"/>
    <w:rsid w:val="009077AB"/>
    <w:rsid w:val="00910148"/>
    <w:rsid w:val="00910D12"/>
    <w:rsid w:val="009127CC"/>
    <w:rsid w:val="00912E8E"/>
    <w:rsid w:val="00913D24"/>
    <w:rsid w:val="00914FCD"/>
    <w:rsid w:val="009163FE"/>
    <w:rsid w:val="00916B8A"/>
    <w:rsid w:val="00917B29"/>
    <w:rsid w:val="00917D9C"/>
    <w:rsid w:val="009203C9"/>
    <w:rsid w:val="00920C45"/>
    <w:rsid w:val="0092314F"/>
    <w:rsid w:val="00923556"/>
    <w:rsid w:val="00923655"/>
    <w:rsid w:val="00923C47"/>
    <w:rsid w:val="00924D2F"/>
    <w:rsid w:val="00924F7C"/>
    <w:rsid w:val="0092630C"/>
    <w:rsid w:val="0092694D"/>
    <w:rsid w:val="0092717F"/>
    <w:rsid w:val="00927E19"/>
    <w:rsid w:val="009301F6"/>
    <w:rsid w:val="00930696"/>
    <w:rsid w:val="009307FE"/>
    <w:rsid w:val="00930CBA"/>
    <w:rsid w:val="00931BEB"/>
    <w:rsid w:val="0093358C"/>
    <w:rsid w:val="009339AD"/>
    <w:rsid w:val="009353E4"/>
    <w:rsid w:val="0093598C"/>
    <w:rsid w:val="00935AF5"/>
    <w:rsid w:val="00935D6D"/>
    <w:rsid w:val="00935ED6"/>
    <w:rsid w:val="00936067"/>
    <w:rsid w:val="009362D0"/>
    <w:rsid w:val="00936C7C"/>
    <w:rsid w:val="009418C1"/>
    <w:rsid w:val="0094301A"/>
    <w:rsid w:val="00943B0E"/>
    <w:rsid w:val="00944423"/>
    <w:rsid w:val="00950888"/>
    <w:rsid w:val="00951403"/>
    <w:rsid w:val="009518D1"/>
    <w:rsid w:val="00953812"/>
    <w:rsid w:val="00954543"/>
    <w:rsid w:val="00954A63"/>
    <w:rsid w:val="00955630"/>
    <w:rsid w:val="00956B8E"/>
    <w:rsid w:val="009571ED"/>
    <w:rsid w:val="00957266"/>
    <w:rsid w:val="009572BD"/>
    <w:rsid w:val="00957C5F"/>
    <w:rsid w:val="009611FF"/>
    <w:rsid w:val="0096237E"/>
    <w:rsid w:val="00963542"/>
    <w:rsid w:val="00963800"/>
    <w:rsid w:val="0096511B"/>
    <w:rsid w:val="009660D3"/>
    <w:rsid w:val="0096630B"/>
    <w:rsid w:val="009666C4"/>
    <w:rsid w:val="00966CB0"/>
    <w:rsid w:val="00967230"/>
    <w:rsid w:val="00967477"/>
    <w:rsid w:val="00967DF5"/>
    <w:rsid w:val="00970E26"/>
    <w:rsid w:val="009710FA"/>
    <w:rsid w:val="00971254"/>
    <w:rsid w:val="00971269"/>
    <w:rsid w:val="00973868"/>
    <w:rsid w:val="009739BF"/>
    <w:rsid w:val="00973B9C"/>
    <w:rsid w:val="0097545E"/>
    <w:rsid w:val="009768CD"/>
    <w:rsid w:val="00976CFA"/>
    <w:rsid w:val="00980A3D"/>
    <w:rsid w:val="00981299"/>
    <w:rsid w:val="0098173C"/>
    <w:rsid w:val="00981F61"/>
    <w:rsid w:val="00981F6F"/>
    <w:rsid w:val="00982B8B"/>
    <w:rsid w:val="00982CF8"/>
    <w:rsid w:val="00983048"/>
    <w:rsid w:val="00985794"/>
    <w:rsid w:val="00985A01"/>
    <w:rsid w:val="00986563"/>
    <w:rsid w:val="00986A42"/>
    <w:rsid w:val="00987FA9"/>
    <w:rsid w:val="0099078A"/>
    <w:rsid w:val="00990CEB"/>
    <w:rsid w:val="00990FF4"/>
    <w:rsid w:val="00991943"/>
    <w:rsid w:val="00994186"/>
    <w:rsid w:val="0099546C"/>
    <w:rsid w:val="00995549"/>
    <w:rsid w:val="009A01B0"/>
    <w:rsid w:val="009A0513"/>
    <w:rsid w:val="009A0E76"/>
    <w:rsid w:val="009A0FD2"/>
    <w:rsid w:val="009A130E"/>
    <w:rsid w:val="009A33D6"/>
    <w:rsid w:val="009A33E3"/>
    <w:rsid w:val="009A3456"/>
    <w:rsid w:val="009A41B6"/>
    <w:rsid w:val="009A44C9"/>
    <w:rsid w:val="009A5E47"/>
    <w:rsid w:val="009A6AC2"/>
    <w:rsid w:val="009A6B2F"/>
    <w:rsid w:val="009A6F43"/>
    <w:rsid w:val="009B0351"/>
    <w:rsid w:val="009B0437"/>
    <w:rsid w:val="009B09DE"/>
    <w:rsid w:val="009B0CB4"/>
    <w:rsid w:val="009B1578"/>
    <w:rsid w:val="009B1AFE"/>
    <w:rsid w:val="009B255E"/>
    <w:rsid w:val="009B62A8"/>
    <w:rsid w:val="009B6A87"/>
    <w:rsid w:val="009C02EC"/>
    <w:rsid w:val="009C03CA"/>
    <w:rsid w:val="009C0AD6"/>
    <w:rsid w:val="009C1310"/>
    <w:rsid w:val="009C2992"/>
    <w:rsid w:val="009C48C9"/>
    <w:rsid w:val="009C4D13"/>
    <w:rsid w:val="009C5EB9"/>
    <w:rsid w:val="009C6B31"/>
    <w:rsid w:val="009C7533"/>
    <w:rsid w:val="009D165D"/>
    <w:rsid w:val="009D2958"/>
    <w:rsid w:val="009D3114"/>
    <w:rsid w:val="009D39C3"/>
    <w:rsid w:val="009D3E51"/>
    <w:rsid w:val="009D56A1"/>
    <w:rsid w:val="009D63AF"/>
    <w:rsid w:val="009D67B4"/>
    <w:rsid w:val="009D6BC8"/>
    <w:rsid w:val="009D7E87"/>
    <w:rsid w:val="009E0A68"/>
    <w:rsid w:val="009E1ADE"/>
    <w:rsid w:val="009E2E23"/>
    <w:rsid w:val="009E3C22"/>
    <w:rsid w:val="009E3F23"/>
    <w:rsid w:val="009E4854"/>
    <w:rsid w:val="009E500A"/>
    <w:rsid w:val="009E510A"/>
    <w:rsid w:val="009E5A80"/>
    <w:rsid w:val="009E5F04"/>
    <w:rsid w:val="009E65BE"/>
    <w:rsid w:val="009E71E7"/>
    <w:rsid w:val="009F0676"/>
    <w:rsid w:val="009F0B48"/>
    <w:rsid w:val="009F1D44"/>
    <w:rsid w:val="009F3BAE"/>
    <w:rsid w:val="009F43D8"/>
    <w:rsid w:val="009F4699"/>
    <w:rsid w:val="009F5A1B"/>
    <w:rsid w:val="009F5D61"/>
    <w:rsid w:val="009F656C"/>
    <w:rsid w:val="00A000F1"/>
    <w:rsid w:val="00A0039C"/>
    <w:rsid w:val="00A0066B"/>
    <w:rsid w:val="00A006A6"/>
    <w:rsid w:val="00A02381"/>
    <w:rsid w:val="00A028BF"/>
    <w:rsid w:val="00A02D45"/>
    <w:rsid w:val="00A038BF"/>
    <w:rsid w:val="00A040FC"/>
    <w:rsid w:val="00A04D95"/>
    <w:rsid w:val="00A060FA"/>
    <w:rsid w:val="00A06286"/>
    <w:rsid w:val="00A06D7C"/>
    <w:rsid w:val="00A10070"/>
    <w:rsid w:val="00A11F34"/>
    <w:rsid w:val="00A12606"/>
    <w:rsid w:val="00A128F1"/>
    <w:rsid w:val="00A12BDC"/>
    <w:rsid w:val="00A13B1E"/>
    <w:rsid w:val="00A1415F"/>
    <w:rsid w:val="00A16158"/>
    <w:rsid w:val="00A16D9F"/>
    <w:rsid w:val="00A1741D"/>
    <w:rsid w:val="00A204AB"/>
    <w:rsid w:val="00A20EA2"/>
    <w:rsid w:val="00A20EBB"/>
    <w:rsid w:val="00A20F7E"/>
    <w:rsid w:val="00A21976"/>
    <w:rsid w:val="00A22521"/>
    <w:rsid w:val="00A2271A"/>
    <w:rsid w:val="00A23A3B"/>
    <w:rsid w:val="00A240D1"/>
    <w:rsid w:val="00A244ED"/>
    <w:rsid w:val="00A2565B"/>
    <w:rsid w:val="00A3122A"/>
    <w:rsid w:val="00A315A5"/>
    <w:rsid w:val="00A32374"/>
    <w:rsid w:val="00A3331C"/>
    <w:rsid w:val="00A33839"/>
    <w:rsid w:val="00A34887"/>
    <w:rsid w:val="00A409DC"/>
    <w:rsid w:val="00A412A7"/>
    <w:rsid w:val="00A42366"/>
    <w:rsid w:val="00A42717"/>
    <w:rsid w:val="00A44756"/>
    <w:rsid w:val="00A45883"/>
    <w:rsid w:val="00A461BC"/>
    <w:rsid w:val="00A46940"/>
    <w:rsid w:val="00A46A1B"/>
    <w:rsid w:val="00A46C3E"/>
    <w:rsid w:val="00A4788E"/>
    <w:rsid w:val="00A47DB4"/>
    <w:rsid w:val="00A50309"/>
    <w:rsid w:val="00A517CB"/>
    <w:rsid w:val="00A51F04"/>
    <w:rsid w:val="00A526AB"/>
    <w:rsid w:val="00A53B0E"/>
    <w:rsid w:val="00A5542D"/>
    <w:rsid w:val="00A56B33"/>
    <w:rsid w:val="00A573D5"/>
    <w:rsid w:val="00A5769F"/>
    <w:rsid w:val="00A60286"/>
    <w:rsid w:val="00A604FD"/>
    <w:rsid w:val="00A6182F"/>
    <w:rsid w:val="00A6227C"/>
    <w:rsid w:val="00A62774"/>
    <w:rsid w:val="00A62D8F"/>
    <w:rsid w:val="00A62E0E"/>
    <w:rsid w:val="00A64876"/>
    <w:rsid w:val="00A6542F"/>
    <w:rsid w:val="00A67416"/>
    <w:rsid w:val="00A678CF"/>
    <w:rsid w:val="00A72E15"/>
    <w:rsid w:val="00A732CC"/>
    <w:rsid w:val="00A73582"/>
    <w:rsid w:val="00A747F8"/>
    <w:rsid w:val="00A74F4F"/>
    <w:rsid w:val="00A75431"/>
    <w:rsid w:val="00A77487"/>
    <w:rsid w:val="00A77F57"/>
    <w:rsid w:val="00A806DD"/>
    <w:rsid w:val="00A80A8D"/>
    <w:rsid w:val="00A811DB"/>
    <w:rsid w:val="00A81605"/>
    <w:rsid w:val="00A81EDA"/>
    <w:rsid w:val="00A826AD"/>
    <w:rsid w:val="00A82908"/>
    <w:rsid w:val="00A829AF"/>
    <w:rsid w:val="00A82AB6"/>
    <w:rsid w:val="00A8485B"/>
    <w:rsid w:val="00A85102"/>
    <w:rsid w:val="00A867A7"/>
    <w:rsid w:val="00A87809"/>
    <w:rsid w:val="00A87902"/>
    <w:rsid w:val="00A900DA"/>
    <w:rsid w:val="00A910EB"/>
    <w:rsid w:val="00A91457"/>
    <w:rsid w:val="00A91477"/>
    <w:rsid w:val="00A91D26"/>
    <w:rsid w:val="00A93BEB"/>
    <w:rsid w:val="00A93DB4"/>
    <w:rsid w:val="00A9504A"/>
    <w:rsid w:val="00A959D7"/>
    <w:rsid w:val="00A96643"/>
    <w:rsid w:val="00AA0878"/>
    <w:rsid w:val="00AA09C1"/>
    <w:rsid w:val="00AA24D2"/>
    <w:rsid w:val="00AA2938"/>
    <w:rsid w:val="00AA332C"/>
    <w:rsid w:val="00AA4A03"/>
    <w:rsid w:val="00AA6495"/>
    <w:rsid w:val="00AA6776"/>
    <w:rsid w:val="00AA6C3A"/>
    <w:rsid w:val="00AA794E"/>
    <w:rsid w:val="00AB0224"/>
    <w:rsid w:val="00AB1FE2"/>
    <w:rsid w:val="00AB305C"/>
    <w:rsid w:val="00AB359C"/>
    <w:rsid w:val="00AB4004"/>
    <w:rsid w:val="00AB413A"/>
    <w:rsid w:val="00AB4508"/>
    <w:rsid w:val="00AB4D9A"/>
    <w:rsid w:val="00AB61DE"/>
    <w:rsid w:val="00AB78EE"/>
    <w:rsid w:val="00AC02EA"/>
    <w:rsid w:val="00AC1218"/>
    <w:rsid w:val="00AC12CA"/>
    <w:rsid w:val="00AC1F86"/>
    <w:rsid w:val="00AC321F"/>
    <w:rsid w:val="00AC47B1"/>
    <w:rsid w:val="00AC4C4C"/>
    <w:rsid w:val="00AC5203"/>
    <w:rsid w:val="00AC6AFF"/>
    <w:rsid w:val="00AC6D6F"/>
    <w:rsid w:val="00AC7F10"/>
    <w:rsid w:val="00AD14A7"/>
    <w:rsid w:val="00AD3294"/>
    <w:rsid w:val="00AD33B4"/>
    <w:rsid w:val="00AD35CA"/>
    <w:rsid w:val="00AD36BA"/>
    <w:rsid w:val="00AD38E8"/>
    <w:rsid w:val="00AD3BD7"/>
    <w:rsid w:val="00AD5C1D"/>
    <w:rsid w:val="00AD5DDD"/>
    <w:rsid w:val="00AD727E"/>
    <w:rsid w:val="00AD7885"/>
    <w:rsid w:val="00AE028D"/>
    <w:rsid w:val="00AE26A8"/>
    <w:rsid w:val="00AE2DC0"/>
    <w:rsid w:val="00AE4568"/>
    <w:rsid w:val="00AE46F8"/>
    <w:rsid w:val="00AE7255"/>
    <w:rsid w:val="00AF1304"/>
    <w:rsid w:val="00AF1C01"/>
    <w:rsid w:val="00AF1D9E"/>
    <w:rsid w:val="00AF2315"/>
    <w:rsid w:val="00AF2ECE"/>
    <w:rsid w:val="00AF306F"/>
    <w:rsid w:val="00AF47A8"/>
    <w:rsid w:val="00AF63F3"/>
    <w:rsid w:val="00AF64EA"/>
    <w:rsid w:val="00AF651D"/>
    <w:rsid w:val="00AF746C"/>
    <w:rsid w:val="00AF7B85"/>
    <w:rsid w:val="00B0014C"/>
    <w:rsid w:val="00B01153"/>
    <w:rsid w:val="00B01B33"/>
    <w:rsid w:val="00B0318D"/>
    <w:rsid w:val="00B0361E"/>
    <w:rsid w:val="00B03C8C"/>
    <w:rsid w:val="00B052F8"/>
    <w:rsid w:val="00B054CC"/>
    <w:rsid w:val="00B05874"/>
    <w:rsid w:val="00B05D9E"/>
    <w:rsid w:val="00B0655B"/>
    <w:rsid w:val="00B06FE9"/>
    <w:rsid w:val="00B07675"/>
    <w:rsid w:val="00B076E6"/>
    <w:rsid w:val="00B10168"/>
    <w:rsid w:val="00B11951"/>
    <w:rsid w:val="00B1227A"/>
    <w:rsid w:val="00B138DC"/>
    <w:rsid w:val="00B142AA"/>
    <w:rsid w:val="00B14F1D"/>
    <w:rsid w:val="00B16107"/>
    <w:rsid w:val="00B16827"/>
    <w:rsid w:val="00B16F77"/>
    <w:rsid w:val="00B17222"/>
    <w:rsid w:val="00B17D68"/>
    <w:rsid w:val="00B2029B"/>
    <w:rsid w:val="00B203F2"/>
    <w:rsid w:val="00B21047"/>
    <w:rsid w:val="00B22AD4"/>
    <w:rsid w:val="00B25AFB"/>
    <w:rsid w:val="00B269CD"/>
    <w:rsid w:val="00B27B89"/>
    <w:rsid w:val="00B33030"/>
    <w:rsid w:val="00B33462"/>
    <w:rsid w:val="00B40476"/>
    <w:rsid w:val="00B404B9"/>
    <w:rsid w:val="00B40EC4"/>
    <w:rsid w:val="00B410A9"/>
    <w:rsid w:val="00B41115"/>
    <w:rsid w:val="00B42C3B"/>
    <w:rsid w:val="00B43C9A"/>
    <w:rsid w:val="00B44794"/>
    <w:rsid w:val="00B44DB3"/>
    <w:rsid w:val="00B451B5"/>
    <w:rsid w:val="00B457A9"/>
    <w:rsid w:val="00B46ABE"/>
    <w:rsid w:val="00B47B84"/>
    <w:rsid w:val="00B50176"/>
    <w:rsid w:val="00B506DD"/>
    <w:rsid w:val="00B51B42"/>
    <w:rsid w:val="00B53C66"/>
    <w:rsid w:val="00B54196"/>
    <w:rsid w:val="00B54249"/>
    <w:rsid w:val="00B54827"/>
    <w:rsid w:val="00B548BD"/>
    <w:rsid w:val="00B55239"/>
    <w:rsid w:val="00B5536C"/>
    <w:rsid w:val="00B554D8"/>
    <w:rsid w:val="00B55D0D"/>
    <w:rsid w:val="00B56370"/>
    <w:rsid w:val="00B56A6D"/>
    <w:rsid w:val="00B57D34"/>
    <w:rsid w:val="00B60082"/>
    <w:rsid w:val="00B60414"/>
    <w:rsid w:val="00B60678"/>
    <w:rsid w:val="00B60F24"/>
    <w:rsid w:val="00B63345"/>
    <w:rsid w:val="00B63569"/>
    <w:rsid w:val="00B63B19"/>
    <w:rsid w:val="00B63CB5"/>
    <w:rsid w:val="00B6426A"/>
    <w:rsid w:val="00B64D3B"/>
    <w:rsid w:val="00B65E37"/>
    <w:rsid w:val="00B66B22"/>
    <w:rsid w:val="00B6731C"/>
    <w:rsid w:val="00B678A5"/>
    <w:rsid w:val="00B717FF"/>
    <w:rsid w:val="00B74827"/>
    <w:rsid w:val="00B75BD9"/>
    <w:rsid w:val="00B75BEC"/>
    <w:rsid w:val="00B76611"/>
    <w:rsid w:val="00B769D3"/>
    <w:rsid w:val="00B772E2"/>
    <w:rsid w:val="00B77D57"/>
    <w:rsid w:val="00B811A4"/>
    <w:rsid w:val="00B813C4"/>
    <w:rsid w:val="00B817AA"/>
    <w:rsid w:val="00B846A7"/>
    <w:rsid w:val="00B86414"/>
    <w:rsid w:val="00B86632"/>
    <w:rsid w:val="00B90F06"/>
    <w:rsid w:val="00B9254E"/>
    <w:rsid w:val="00B9266F"/>
    <w:rsid w:val="00B935AF"/>
    <w:rsid w:val="00B9419E"/>
    <w:rsid w:val="00B941AC"/>
    <w:rsid w:val="00B951E1"/>
    <w:rsid w:val="00B958BA"/>
    <w:rsid w:val="00B95C20"/>
    <w:rsid w:val="00B9636D"/>
    <w:rsid w:val="00B97E0B"/>
    <w:rsid w:val="00B97EC7"/>
    <w:rsid w:val="00BA0472"/>
    <w:rsid w:val="00BA078B"/>
    <w:rsid w:val="00BA0C96"/>
    <w:rsid w:val="00BA1C47"/>
    <w:rsid w:val="00BA1E66"/>
    <w:rsid w:val="00BA21AF"/>
    <w:rsid w:val="00BA2A04"/>
    <w:rsid w:val="00BA3707"/>
    <w:rsid w:val="00BA650A"/>
    <w:rsid w:val="00BA7266"/>
    <w:rsid w:val="00BA79E7"/>
    <w:rsid w:val="00BB2048"/>
    <w:rsid w:val="00BB21CD"/>
    <w:rsid w:val="00BB26E0"/>
    <w:rsid w:val="00BB3C47"/>
    <w:rsid w:val="00BB47BF"/>
    <w:rsid w:val="00BB6A59"/>
    <w:rsid w:val="00BB785A"/>
    <w:rsid w:val="00BC0C50"/>
    <w:rsid w:val="00BC124A"/>
    <w:rsid w:val="00BC14E9"/>
    <w:rsid w:val="00BC2D37"/>
    <w:rsid w:val="00BC3B2D"/>
    <w:rsid w:val="00BC481B"/>
    <w:rsid w:val="00BC4B9D"/>
    <w:rsid w:val="00BC5885"/>
    <w:rsid w:val="00BC618C"/>
    <w:rsid w:val="00BD0682"/>
    <w:rsid w:val="00BD0786"/>
    <w:rsid w:val="00BD07A5"/>
    <w:rsid w:val="00BD07CB"/>
    <w:rsid w:val="00BD11B2"/>
    <w:rsid w:val="00BD2941"/>
    <w:rsid w:val="00BD2C44"/>
    <w:rsid w:val="00BD2E66"/>
    <w:rsid w:val="00BD5EFA"/>
    <w:rsid w:val="00BD64EC"/>
    <w:rsid w:val="00BD731F"/>
    <w:rsid w:val="00BE0676"/>
    <w:rsid w:val="00BE3067"/>
    <w:rsid w:val="00BE6A5C"/>
    <w:rsid w:val="00BE7334"/>
    <w:rsid w:val="00BE7FE9"/>
    <w:rsid w:val="00BF0393"/>
    <w:rsid w:val="00BF1E25"/>
    <w:rsid w:val="00BF34B9"/>
    <w:rsid w:val="00BF568C"/>
    <w:rsid w:val="00BF56D2"/>
    <w:rsid w:val="00BF5D05"/>
    <w:rsid w:val="00BF726B"/>
    <w:rsid w:val="00C005F6"/>
    <w:rsid w:val="00C015C8"/>
    <w:rsid w:val="00C01F07"/>
    <w:rsid w:val="00C02E58"/>
    <w:rsid w:val="00C0655B"/>
    <w:rsid w:val="00C06925"/>
    <w:rsid w:val="00C07998"/>
    <w:rsid w:val="00C07AD5"/>
    <w:rsid w:val="00C114B1"/>
    <w:rsid w:val="00C120C8"/>
    <w:rsid w:val="00C1233D"/>
    <w:rsid w:val="00C1374D"/>
    <w:rsid w:val="00C13841"/>
    <w:rsid w:val="00C13925"/>
    <w:rsid w:val="00C1494E"/>
    <w:rsid w:val="00C14C59"/>
    <w:rsid w:val="00C14E30"/>
    <w:rsid w:val="00C16A26"/>
    <w:rsid w:val="00C16FB2"/>
    <w:rsid w:val="00C173E3"/>
    <w:rsid w:val="00C17ED3"/>
    <w:rsid w:val="00C20A06"/>
    <w:rsid w:val="00C20A18"/>
    <w:rsid w:val="00C20B79"/>
    <w:rsid w:val="00C20C61"/>
    <w:rsid w:val="00C224AB"/>
    <w:rsid w:val="00C23B5B"/>
    <w:rsid w:val="00C23E47"/>
    <w:rsid w:val="00C24779"/>
    <w:rsid w:val="00C3084B"/>
    <w:rsid w:val="00C32663"/>
    <w:rsid w:val="00C339E9"/>
    <w:rsid w:val="00C34AEF"/>
    <w:rsid w:val="00C35FD7"/>
    <w:rsid w:val="00C365E8"/>
    <w:rsid w:val="00C36E5F"/>
    <w:rsid w:val="00C376AB"/>
    <w:rsid w:val="00C406B6"/>
    <w:rsid w:val="00C40A8D"/>
    <w:rsid w:val="00C4316A"/>
    <w:rsid w:val="00C446EC"/>
    <w:rsid w:val="00C44A5C"/>
    <w:rsid w:val="00C4509B"/>
    <w:rsid w:val="00C459CF"/>
    <w:rsid w:val="00C4734B"/>
    <w:rsid w:val="00C4771D"/>
    <w:rsid w:val="00C4779E"/>
    <w:rsid w:val="00C5055B"/>
    <w:rsid w:val="00C51315"/>
    <w:rsid w:val="00C53B58"/>
    <w:rsid w:val="00C5425A"/>
    <w:rsid w:val="00C56B7A"/>
    <w:rsid w:val="00C577BC"/>
    <w:rsid w:val="00C611F2"/>
    <w:rsid w:val="00C61F08"/>
    <w:rsid w:val="00C635C6"/>
    <w:rsid w:val="00C63870"/>
    <w:rsid w:val="00C63C41"/>
    <w:rsid w:val="00C63EB1"/>
    <w:rsid w:val="00C6407D"/>
    <w:rsid w:val="00C649E4"/>
    <w:rsid w:val="00C65A8D"/>
    <w:rsid w:val="00C66048"/>
    <w:rsid w:val="00C67475"/>
    <w:rsid w:val="00C67DAF"/>
    <w:rsid w:val="00C70431"/>
    <w:rsid w:val="00C71AD6"/>
    <w:rsid w:val="00C71C8D"/>
    <w:rsid w:val="00C721AD"/>
    <w:rsid w:val="00C73200"/>
    <w:rsid w:val="00C745D9"/>
    <w:rsid w:val="00C75405"/>
    <w:rsid w:val="00C76DF5"/>
    <w:rsid w:val="00C77488"/>
    <w:rsid w:val="00C7771D"/>
    <w:rsid w:val="00C8046F"/>
    <w:rsid w:val="00C80B66"/>
    <w:rsid w:val="00C81571"/>
    <w:rsid w:val="00C82CA1"/>
    <w:rsid w:val="00C83001"/>
    <w:rsid w:val="00C84B1E"/>
    <w:rsid w:val="00C84E5D"/>
    <w:rsid w:val="00C850BA"/>
    <w:rsid w:val="00C85397"/>
    <w:rsid w:val="00C85F39"/>
    <w:rsid w:val="00C862BC"/>
    <w:rsid w:val="00C86ADF"/>
    <w:rsid w:val="00C86DFC"/>
    <w:rsid w:val="00C87A28"/>
    <w:rsid w:val="00C87BE2"/>
    <w:rsid w:val="00C90331"/>
    <w:rsid w:val="00C9133C"/>
    <w:rsid w:val="00C91647"/>
    <w:rsid w:val="00C928DA"/>
    <w:rsid w:val="00C92DDD"/>
    <w:rsid w:val="00C936DB"/>
    <w:rsid w:val="00C93E10"/>
    <w:rsid w:val="00C95436"/>
    <w:rsid w:val="00C965EC"/>
    <w:rsid w:val="00C96E13"/>
    <w:rsid w:val="00C96FDF"/>
    <w:rsid w:val="00C97B59"/>
    <w:rsid w:val="00C97FC7"/>
    <w:rsid w:val="00CA08FE"/>
    <w:rsid w:val="00CA0AA4"/>
    <w:rsid w:val="00CA0BBE"/>
    <w:rsid w:val="00CA0CC8"/>
    <w:rsid w:val="00CA32AA"/>
    <w:rsid w:val="00CA3B0C"/>
    <w:rsid w:val="00CA4693"/>
    <w:rsid w:val="00CA4E83"/>
    <w:rsid w:val="00CA4EC3"/>
    <w:rsid w:val="00CA599E"/>
    <w:rsid w:val="00CA5C9A"/>
    <w:rsid w:val="00CA71E1"/>
    <w:rsid w:val="00CA7264"/>
    <w:rsid w:val="00CA7507"/>
    <w:rsid w:val="00CA7C38"/>
    <w:rsid w:val="00CB1548"/>
    <w:rsid w:val="00CB2D1E"/>
    <w:rsid w:val="00CB34BC"/>
    <w:rsid w:val="00CB5336"/>
    <w:rsid w:val="00CB656B"/>
    <w:rsid w:val="00CB6723"/>
    <w:rsid w:val="00CB6F7C"/>
    <w:rsid w:val="00CC062A"/>
    <w:rsid w:val="00CC1145"/>
    <w:rsid w:val="00CC11A1"/>
    <w:rsid w:val="00CC15B5"/>
    <w:rsid w:val="00CC250B"/>
    <w:rsid w:val="00CC292A"/>
    <w:rsid w:val="00CC2AC7"/>
    <w:rsid w:val="00CC5145"/>
    <w:rsid w:val="00CC5483"/>
    <w:rsid w:val="00CC692B"/>
    <w:rsid w:val="00CC6D0C"/>
    <w:rsid w:val="00CC7192"/>
    <w:rsid w:val="00CC7950"/>
    <w:rsid w:val="00CD0950"/>
    <w:rsid w:val="00CD109B"/>
    <w:rsid w:val="00CD3534"/>
    <w:rsid w:val="00CD377A"/>
    <w:rsid w:val="00CD3C8A"/>
    <w:rsid w:val="00CD3FA7"/>
    <w:rsid w:val="00CD48FB"/>
    <w:rsid w:val="00CD5F28"/>
    <w:rsid w:val="00CE1359"/>
    <w:rsid w:val="00CE178C"/>
    <w:rsid w:val="00CE1DCA"/>
    <w:rsid w:val="00CE298E"/>
    <w:rsid w:val="00CE2CA8"/>
    <w:rsid w:val="00CE2E09"/>
    <w:rsid w:val="00CE42D0"/>
    <w:rsid w:val="00CE4948"/>
    <w:rsid w:val="00CE4B07"/>
    <w:rsid w:val="00CE58F4"/>
    <w:rsid w:val="00CE73E3"/>
    <w:rsid w:val="00CE7FD6"/>
    <w:rsid w:val="00CF07CA"/>
    <w:rsid w:val="00CF0E41"/>
    <w:rsid w:val="00CF29E5"/>
    <w:rsid w:val="00CF3426"/>
    <w:rsid w:val="00CF378E"/>
    <w:rsid w:val="00CF38E6"/>
    <w:rsid w:val="00CF3A34"/>
    <w:rsid w:val="00CF4E40"/>
    <w:rsid w:val="00CF5226"/>
    <w:rsid w:val="00CF5A0D"/>
    <w:rsid w:val="00CF6FC9"/>
    <w:rsid w:val="00D00BDC"/>
    <w:rsid w:val="00D022BD"/>
    <w:rsid w:val="00D0279A"/>
    <w:rsid w:val="00D02864"/>
    <w:rsid w:val="00D0312B"/>
    <w:rsid w:val="00D03395"/>
    <w:rsid w:val="00D036DF"/>
    <w:rsid w:val="00D036ED"/>
    <w:rsid w:val="00D03A60"/>
    <w:rsid w:val="00D04516"/>
    <w:rsid w:val="00D04BD8"/>
    <w:rsid w:val="00D053FA"/>
    <w:rsid w:val="00D05BF2"/>
    <w:rsid w:val="00D10611"/>
    <w:rsid w:val="00D10F06"/>
    <w:rsid w:val="00D110DB"/>
    <w:rsid w:val="00D11C03"/>
    <w:rsid w:val="00D15306"/>
    <w:rsid w:val="00D15443"/>
    <w:rsid w:val="00D1568F"/>
    <w:rsid w:val="00D1610D"/>
    <w:rsid w:val="00D16559"/>
    <w:rsid w:val="00D2053B"/>
    <w:rsid w:val="00D21CFE"/>
    <w:rsid w:val="00D21FCD"/>
    <w:rsid w:val="00D224F4"/>
    <w:rsid w:val="00D22EFE"/>
    <w:rsid w:val="00D230B7"/>
    <w:rsid w:val="00D23397"/>
    <w:rsid w:val="00D2342E"/>
    <w:rsid w:val="00D2496C"/>
    <w:rsid w:val="00D26203"/>
    <w:rsid w:val="00D26D51"/>
    <w:rsid w:val="00D26E1B"/>
    <w:rsid w:val="00D27750"/>
    <w:rsid w:val="00D30B62"/>
    <w:rsid w:val="00D30B82"/>
    <w:rsid w:val="00D311FA"/>
    <w:rsid w:val="00D312AB"/>
    <w:rsid w:val="00D3133B"/>
    <w:rsid w:val="00D32130"/>
    <w:rsid w:val="00D32625"/>
    <w:rsid w:val="00D32FAB"/>
    <w:rsid w:val="00D33E8C"/>
    <w:rsid w:val="00D35198"/>
    <w:rsid w:val="00D36087"/>
    <w:rsid w:val="00D363D8"/>
    <w:rsid w:val="00D36B3D"/>
    <w:rsid w:val="00D40BA4"/>
    <w:rsid w:val="00D42869"/>
    <w:rsid w:val="00D43733"/>
    <w:rsid w:val="00D443C7"/>
    <w:rsid w:val="00D45BC7"/>
    <w:rsid w:val="00D463FB"/>
    <w:rsid w:val="00D46BFE"/>
    <w:rsid w:val="00D4751E"/>
    <w:rsid w:val="00D47EEB"/>
    <w:rsid w:val="00D50665"/>
    <w:rsid w:val="00D50A26"/>
    <w:rsid w:val="00D52542"/>
    <w:rsid w:val="00D52BF6"/>
    <w:rsid w:val="00D52E26"/>
    <w:rsid w:val="00D52FFD"/>
    <w:rsid w:val="00D53FEF"/>
    <w:rsid w:val="00D55720"/>
    <w:rsid w:val="00D56CBC"/>
    <w:rsid w:val="00D57D33"/>
    <w:rsid w:val="00D60785"/>
    <w:rsid w:val="00D61145"/>
    <w:rsid w:val="00D614D7"/>
    <w:rsid w:val="00D63366"/>
    <w:rsid w:val="00D63943"/>
    <w:rsid w:val="00D65FCD"/>
    <w:rsid w:val="00D71FD1"/>
    <w:rsid w:val="00D738C7"/>
    <w:rsid w:val="00D74385"/>
    <w:rsid w:val="00D74EA7"/>
    <w:rsid w:val="00D752EC"/>
    <w:rsid w:val="00D756FF"/>
    <w:rsid w:val="00D75B9D"/>
    <w:rsid w:val="00D767F9"/>
    <w:rsid w:val="00D76B4E"/>
    <w:rsid w:val="00D80D4B"/>
    <w:rsid w:val="00D8325C"/>
    <w:rsid w:val="00D83A4F"/>
    <w:rsid w:val="00D85A4C"/>
    <w:rsid w:val="00D85C10"/>
    <w:rsid w:val="00D862FC"/>
    <w:rsid w:val="00D86F7E"/>
    <w:rsid w:val="00D873C2"/>
    <w:rsid w:val="00D911EB"/>
    <w:rsid w:val="00D91ADA"/>
    <w:rsid w:val="00D92414"/>
    <w:rsid w:val="00D954F9"/>
    <w:rsid w:val="00D956A8"/>
    <w:rsid w:val="00DA00E3"/>
    <w:rsid w:val="00DA0516"/>
    <w:rsid w:val="00DA1167"/>
    <w:rsid w:val="00DA13B1"/>
    <w:rsid w:val="00DA144F"/>
    <w:rsid w:val="00DA1BD4"/>
    <w:rsid w:val="00DA1C8D"/>
    <w:rsid w:val="00DA25CE"/>
    <w:rsid w:val="00DA2B59"/>
    <w:rsid w:val="00DA3083"/>
    <w:rsid w:val="00DA36E6"/>
    <w:rsid w:val="00DA457D"/>
    <w:rsid w:val="00DA5DCB"/>
    <w:rsid w:val="00DA63F3"/>
    <w:rsid w:val="00DA64AA"/>
    <w:rsid w:val="00DA663B"/>
    <w:rsid w:val="00DA682A"/>
    <w:rsid w:val="00DA6A86"/>
    <w:rsid w:val="00DA70A4"/>
    <w:rsid w:val="00DA70F7"/>
    <w:rsid w:val="00DA7CA1"/>
    <w:rsid w:val="00DB0B5C"/>
    <w:rsid w:val="00DB0F69"/>
    <w:rsid w:val="00DB1ABC"/>
    <w:rsid w:val="00DB21EA"/>
    <w:rsid w:val="00DB29C2"/>
    <w:rsid w:val="00DB3228"/>
    <w:rsid w:val="00DB3286"/>
    <w:rsid w:val="00DB5B96"/>
    <w:rsid w:val="00DB689B"/>
    <w:rsid w:val="00DB6E10"/>
    <w:rsid w:val="00DB79F3"/>
    <w:rsid w:val="00DC091C"/>
    <w:rsid w:val="00DC0A4D"/>
    <w:rsid w:val="00DC314C"/>
    <w:rsid w:val="00DC3919"/>
    <w:rsid w:val="00DC5C00"/>
    <w:rsid w:val="00DC5DD8"/>
    <w:rsid w:val="00DC63CC"/>
    <w:rsid w:val="00DC6B77"/>
    <w:rsid w:val="00DC7B79"/>
    <w:rsid w:val="00DD0B18"/>
    <w:rsid w:val="00DD17EC"/>
    <w:rsid w:val="00DD1AF0"/>
    <w:rsid w:val="00DD2209"/>
    <w:rsid w:val="00DD2A38"/>
    <w:rsid w:val="00DD2CBA"/>
    <w:rsid w:val="00DD2EEB"/>
    <w:rsid w:val="00DD36A8"/>
    <w:rsid w:val="00DD4038"/>
    <w:rsid w:val="00DD4522"/>
    <w:rsid w:val="00DD46B7"/>
    <w:rsid w:val="00DD4EC5"/>
    <w:rsid w:val="00DD4EFB"/>
    <w:rsid w:val="00DD4F31"/>
    <w:rsid w:val="00DD6AE6"/>
    <w:rsid w:val="00DE1E16"/>
    <w:rsid w:val="00DE5208"/>
    <w:rsid w:val="00DE74D2"/>
    <w:rsid w:val="00DF040F"/>
    <w:rsid w:val="00DF0CF6"/>
    <w:rsid w:val="00DF15E1"/>
    <w:rsid w:val="00DF1B28"/>
    <w:rsid w:val="00DF1E68"/>
    <w:rsid w:val="00DF2EFA"/>
    <w:rsid w:val="00DF4920"/>
    <w:rsid w:val="00DF4AA5"/>
    <w:rsid w:val="00DF4AE2"/>
    <w:rsid w:val="00DF5292"/>
    <w:rsid w:val="00DF53C3"/>
    <w:rsid w:val="00DF5764"/>
    <w:rsid w:val="00DF5DAA"/>
    <w:rsid w:val="00DF6570"/>
    <w:rsid w:val="00DF7373"/>
    <w:rsid w:val="00DF76BE"/>
    <w:rsid w:val="00DF7E90"/>
    <w:rsid w:val="00E008DF"/>
    <w:rsid w:val="00E01029"/>
    <w:rsid w:val="00E01426"/>
    <w:rsid w:val="00E01F73"/>
    <w:rsid w:val="00E02E1A"/>
    <w:rsid w:val="00E03150"/>
    <w:rsid w:val="00E0346E"/>
    <w:rsid w:val="00E039FE"/>
    <w:rsid w:val="00E03E96"/>
    <w:rsid w:val="00E04FCC"/>
    <w:rsid w:val="00E0560E"/>
    <w:rsid w:val="00E068CE"/>
    <w:rsid w:val="00E06945"/>
    <w:rsid w:val="00E06EFC"/>
    <w:rsid w:val="00E102FC"/>
    <w:rsid w:val="00E10539"/>
    <w:rsid w:val="00E10616"/>
    <w:rsid w:val="00E10E80"/>
    <w:rsid w:val="00E121EF"/>
    <w:rsid w:val="00E135C8"/>
    <w:rsid w:val="00E13F83"/>
    <w:rsid w:val="00E14DF6"/>
    <w:rsid w:val="00E1524A"/>
    <w:rsid w:val="00E20A00"/>
    <w:rsid w:val="00E21618"/>
    <w:rsid w:val="00E21683"/>
    <w:rsid w:val="00E2194D"/>
    <w:rsid w:val="00E219C7"/>
    <w:rsid w:val="00E21CA4"/>
    <w:rsid w:val="00E2627B"/>
    <w:rsid w:val="00E26337"/>
    <w:rsid w:val="00E26DB5"/>
    <w:rsid w:val="00E27263"/>
    <w:rsid w:val="00E27265"/>
    <w:rsid w:val="00E273DA"/>
    <w:rsid w:val="00E276C4"/>
    <w:rsid w:val="00E27727"/>
    <w:rsid w:val="00E31E76"/>
    <w:rsid w:val="00E334F8"/>
    <w:rsid w:val="00E3361D"/>
    <w:rsid w:val="00E3414A"/>
    <w:rsid w:val="00E3448A"/>
    <w:rsid w:val="00E34A39"/>
    <w:rsid w:val="00E3511F"/>
    <w:rsid w:val="00E35497"/>
    <w:rsid w:val="00E35F04"/>
    <w:rsid w:val="00E36299"/>
    <w:rsid w:val="00E363D2"/>
    <w:rsid w:val="00E36A63"/>
    <w:rsid w:val="00E370EE"/>
    <w:rsid w:val="00E376D7"/>
    <w:rsid w:val="00E4097E"/>
    <w:rsid w:val="00E40A05"/>
    <w:rsid w:val="00E40D9C"/>
    <w:rsid w:val="00E4168C"/>
    <w:rsid w:val="00E4190D"/>
    <w:rsid w:val="00E41D3D"/>
    <w:rsid w:val="00E41D58"/>
    <w:rsid w:val="00E4232F"/>
    <w:rsid w:val="00E42347"/>
    <w:rsid w:val="00E4381C"/>
    <w:rsid w:val="00E438AC"/>
    <w:rsid w:val="00E45081"/>
    <w:rsid w:val="00E45662"/>
    <w:rsid w:val="00E46053"/>
    <w:rsid w:val="00E47786"/>
    <w:rsid w:val="00E47AB9"/>
    <w:rsid w:val="00E517CD"/>
    <w:rsid w:val="00E51BDF"/>
    <w:rsid w:val="00E51C73"/>
    <w:rsid w:val="00E52BD8"/>
    <w:rsid w:val="00E5411C"/>
    <w:rsid w:val="00E54FF5"/>
    <w:rsid w:val="00E5546B"/>
    <w:rsid w:val="00E55E67"/>
    <w:rsid w:val="00E56510"/>
    <w:rsid w:val="00E56D00"/>
    <w:rsid w:val="00E5742D"/>
    <w:rsid w:val="00E617FB"/>
    <w:rsid w:val="00E659BE"/>
    <w:rsid w:val="00E6775C"/>
    <w:rsid w:val="00E67B9B"/>
    <w:rsid w:val="00E74186"/>
    <w:rsid w:val="00E74CD2"/>
    <w:rsid w:val="00E7658F"/>
    <w:rsid w:val="00E76635"/>
    <w:rsid w:val="00E76D82"/>
    <w:rsid w:val="00E771F5"/>
    <w:rsid w:val="00E77810"/>
    <w:rsid w:val="00E81130"/>
    <w:rsid w:val="00E8251E"/>
    <w:rsid w:val="00E8501E"/>
    <w:rsid w:val="00E8555F"/>
    <w:rsid w:val="00E85C41"/>
    <w:rsid w:val="00E85D41"/>
    <w:rsid w:val="00E86575"/>
    <w:rsid w:val="00E86EE1"/>
    <w:rsid w:val="00E86F6B"/>
    <w:rsid w:val="00E8776C"/>
    <w:rsid w:val="00E87DCA"/>
    <w:rsid w:val="00E904D9"/>
    <w:rsid w:val="00E91A62"/>
    <w:rsid w:val="00E9209C"/>
    <w:rsid w:val="00E92D4D"/>
    <w:rsid w:val="00E9344D"/>
    <w:rsid w:val="00E94EF1"/>
    <w:rsid w:val="00E96732"/>
    <w:rsid w:val="00E97A31"/>
    <w:rsid w:val="00E97EFD"/>
    <w:rsid w:val="00EA08FA"/>
    <w:rsid w:val="00EA096D"/>
    <w:rsid w:val="00EA2444"/>
    <w:rsid w:val="00EA2652"/>
    <w:rsid w:val="00EA2829"/>
    <w:rsid w:val="00EA2A84"/>
    <w:rsid w:val="00EA2AF1"/>
    <w:rsid w:val="00EA35D2"/>
    <w:rsid w:val="00EA4817"/>
    <w:rsid w:val="00EA507C"/>
    <w:rsid w:val="00EA50B6"/>
    <w:rsid w:val="00EA77F8"/>
    <w:rsid w:val="00EB1EDF"/>
    <w:rsid w:val="00EB2C8A"/>
    <w:rsid w:val="00EB3666"/>
    <w:rsid w:val="00EB36EB"/>
    <w:rsid w:val="00EB3811"/>
    <w:rsid w:val="00EB3F36"/>
    <w:rsid w:val="00EB4BD0"/>
    <w:rsid w:val="00EB4C54"/>
    <w:rsid w:val="00EB5725"/>
    <w:rsid w:val="00EB6A77"/>
    <w:rsid w:val="00EB72E8"/>
    <w:rsid w:val="00EC0A08"/>
    <w:rsid w:val="00EC2255"/>
    <w:rsid w:val="00EC2DF0"/>
    <w:rsid w:val="00EC2EB3"/>
    <w:rsid w:val="00EC3E39"/>
    <w:rsid w:val="00EC57B6"/>
    <w:rsid w:val="00EC6193"/>
    <w:rsid w:val="00EC6E24"/>
    <w:rsid w:val="00EC7228"/>
    <w:rsid w:val="00EC745E"/>
    <w:rsid w:val="00EC76D3"/>
    <w:rsid w:val="00ED0D5A"/>
    <w:rsid w:val="00ED2035"/>
    <w:rsid w:val="00ED425A"/>
    <w:rsid w:val="00ED4293"/>
    <w:rsid w:val="00ED4F2A"/>
    <w:rsid w:val="00ED560B"/>
    <w:rsid w:val="00ED6029"/>
    <w:rsid w:val="00ED6F39"/>
    <w:rsid w:val="00ED78C8"/>
    <w:rsid w:val="00EE0289"/>
    <w:rsid w:val="00EE0343"/>
    <w:rsid w:val="00EE10AE"/>
    <w:rsid w:val="00EE32C7"/>
    <w:rsid w:val="00EE3642"/>
    <w:rsid w:val="00EE3702"/>
    <w:rsid w:val="00EE413D"/>
    <w:rsid w:val="00EE4783"/>
    <w:rsid w:val="00EE4919"/>
    <w:rsid w:val="00EE52EF"/>
    <w:rsid w:val="00EE54BC"/>
    <w:rsid w:val="00EF32A0"/>
    <w:rsid w:val="00EF3657"/>
    <w:rsid w:val="00EF52A9"/>
    <w:rsid w:val="00EF55DB"/>
    <w:rsid w:val="00EF568B"/>
    <w:rsid w:val="00EF58CC"/>
    <w:rsid w:val="00EF66E1"/>
    <w:rsid w:val="00F031AB"/>
    <w:rsid w:val="00F04675"/>
    <w:rsid w:val="00F0646E"/>
    <w:rsid w:val="00F06CC8"/>
    <w:rsid w:val="00F07DAC"/>
    <w:rsid w:val="00F10653"/>
    <w:rsid w:val="00F109C6"/>
    <w:rsid w:val="00F10E58"/>
    <w:rsid w:val="00F11056"/>
    <w:rsid w:val="00F11562"/>
    <w:rsid w:val="00F1387E"/>
    <w:rsid w:val="00F14A91"/>
    <w:rsid w:val="00F14D2B"/>
    <w:rsid w:val="00F15B04"/>
    <w:rsid w:val="00F165C3"/>
    <w:rsid w:val="00F1721C"/>
    <w:rsid w:val="00F1786E"/>
    <w:rsid w:val="00F220C2"/>
    <w:rsid w:val="00F222FF"/>
    <w:rsid w:val="00F229DF"/>
    <w:rsid w:val="00F22BEE"/>
    <w:rsid w:val="00F23334"/>
    <w:rsid w:val="00F24A07"/>
    <w:rsid w:val="00F259A0"/>
    <w:rsid w:val="00F27EBF"/>
    <w:rsid w:val="00F30651"/>
    <w:rsid w:val="00F3130E"/>
    <w:rsid w:val="00F331B2"/>
    <w:rsid w:val="00F3334F"/>
    <w:rsid w:val="00F333A8"/>
    <w:rsid w:val="00F33AA5"/>
    <w:rsid w:val="00F35353"/>
    <w:rsid w:val="00F3540C"/>
    <w:rsid w:val="00F35E0D"/>
    <w:rsid w:val="00F367C4"/>
    <w:rsid w:val="00F36B09"/>
    <w:rsid w:val="00F37D92"/>
    <w:rsid w:val="00F40CBF"/>
    <w:rsid w:val="00F41B3B"/>
    <w:rsid w:val="00F42D04"/>
    <w:rsid w:val="00F433BF"/>
    <w:rsid w:val="00F435EF"/>
    <w:rsid w:val="00F44536"/>
    <w:rsid w:val="00F44675"/>
    <w:rsid w:val="00F45D80"/>
    <w:rsid w:val="00F5093A"/>
    <w:rsid w:val="00F51F6B"/>
    <w:rsid w:val="00F527CA"/>
    <w:rsid w:val="00F52C8A"/>
    <w:rsid w:val="00F542DB"/>
    <w:rsid w:val="00F57030"/>
    <w:rsid w:val="00F572B9"/>
    <w:rsid w:val="00F603D3"/>
    <w:rsid w:val="00F6080A"/>
    <w:rsid w:val="00F6299B"/>
    <w:rsid w:val="00F64008"/>
    <w:rsid w:val="00F6405C"/>
    <w:rsid w:val="00F643CC"/>
    <w:rsid w:val="00F660F6"/>
    <w:rsid w:val="00F70470"/>
    <w:rsid w:val="00F71F20"/>
    <w:rsid w:val="00F726CD"/>
    <w:rsid w:val="00F7446E"/>
    <w:rsid w:val="00F74CC3"/>
    <w:rsid w:val="00F81D19"/>
    <w:rsid w:val="00F83C64"/>
    <w:rsid w:val="00F83CD5"/>
    <w:rsid w:val="00F84478"/>
    <w:rsid w:val="00F84A2D"/>
    <w:rsid w:val="00F8543E"/>
    <w:rsid w:val="00F85CB9"/>
    <w:rsid w:val="00F85E6F"/>
    <w:rsid w:val="00F85F86"/>
    <w:rsid w:val="00F864A4"/>
    <w:rsid w:val="00F871B5"/>
    <w:rsid w:val="00F877AC"/>
    <w:rsid w:val="00F879F9"/>
    <w:rsid w:val="00F90055"/>
    <w:rsid w:val="00F900ED"/>
    <w:rsid w:val="00F90BAE"/>
    <w:rsid w:val="00F93533"/>
    <w:rsid w:val="00F93682"/>
    <w:rsid w:val="00F937C2"/>
    <w:rsid w:val="00F95EE0"/>
    <w:rsid w:val="00FA1230"/>
    <w:rsid w:val="00FA1308"/>
    <w:rsid w:val="00FA1392"/>
    <w:rsid w:val="00FA1863"/>
    <w:rsid w:val="00FA1D1E"/>
    <w:rsid w:val="00FA268B"/>
    <w:rsid w:val="00FA27C4"/>
    <w:rsid w:val="00FA2A27"/>
    <w:rsid w:val="00FA3144"/>
    <w:rsid w:val="00FA4734"/>
    <w:rsid w:val="00FA4F9A"/>
    <w:rsid w:val="00FA529E"/>
    <w:rsid w:val="00FA58B9"/>
    <w:rsid w:val="00FA6337"/>
    <w:rsid w:val="00FA680F"/>
    <w:rsid w:val="00FA77C4"/>
    <w:rsid w:val="00FB1264"/>
    <w:rsid w:val="00FB146F"/>
    <w:rsid w:val="00FB412D"/>
    <w:rsid w:val="00FB57B8"/>
    <w:rsid w:val="00FB598A"/>
    <w:rsid w:val="00FB5C27"/>
    <w:rsid w:val="00FB63AD"/>
    <w:rsid w:val="00FB63D0"/>
    <w:rsid w:val="00FB722C"/>
    <w:rsid w:val="00FB75F2"/>
    <w:rsid w:val="00FB7C58"/>
    <w:rsid w:val="00FB7E33"/>
    <w:rsid w:val="00FC0122"/>
    <w:rsid w:val="00FC2956"/>
    <w:rsid w:val="00FC2A38"/>
    <w:rsid w:val="00FC3264"/>
    <w:rsid w:val="00FC32F1"/>
    <w:rsid w:val="00FC3C94"/>
    <w:rsid w:val="00FC3CA2"/>
    <w:rsid w:val="00FC3F9C"/>
    <w:rsid w:val="00FC5B1E"/>
    <w:rsid w:val="00FD0099"/>
    <w:rsid w:val="00FD06C3"/>
    <w:rsid w:val="00FD11E1"/>
    <w:rsid w:val="00FD2BE7"/>
    <w:rsid w:val="00FD3B70"/>
    <w:rsid w:val="00FD3CD5"/>
    <w:rsid w:val="00FD3EE5"/>
    <w:rsid w:val="00FD4034"/>
    <w:rsid w:val="00FD406B"/>
    <w:rsid w:val="00FD4297"/>
    <w:rsid w:val="00FD44EF"/>
    <w:rsid w:val="00FD5069"/>
    <w:rsid w:val="00FE0121"/>
    <w:rsid w:val="00FE0CCA"/>
    <w:rsid w:val="00FE16A8"/>
    <w:rsid w:val="00FE19E7"/>
    <w:rsid w:val="00FE1AD4"/>
    <w:rsid w:val="00FE4ACC"/>
    <w:rsid w:val="00FE4DF2"/>
    <w:rsid w:val="00FE5861"/>
    <w:rsid w:val="00FE68DA"/>
    <w:rsid w:val="00FF0FF4"/>
    <w:rsid w:val="00FF35F3"/>
    <w:rsid w:val="00FF3D34"/>
    <w:rsid w:val="00FF46E2"/>
    <w:rsid w:val="00FF580A"/>
    <w:rsid w:val="00FF5867"/>
    <w:rsid w:val="00FF5D26"/>
    <w:rsid w:val="00FF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80A"/>
  </w:style>
  <w:style w:type="paragraph" w:styleId="Heading1">
    <w:name w:val="heading 1"/>
    <w:basedOn w:val="Normal"/>
    <w:next w:val="Normal"/>
    <w:link w:val="Heading1Char2"/>
    <w:qFormat/>
    <w:rsid w:val="00F877AC"/>
    <w:pPr>
      <w:outlineLvl w:val="0"/>
    </w:pPr>
    <w:rPr>
      <w:b/>
      <w:bCs/>
      <w:smallCaps/>
      <w:noProof/>
      <w:lang w:val="en-US"/>
    </w:rPr>
  </w:style>
  <w:style w:type="paragraph" w:styleId="Heading2">
    <w:name w:val="heading 2"/>
    <w:basedOn w:val="Normal"/>
    <w:next w:val="Normal"/>
    <w:link w:val="Heading2Char"/>
    <w:qFormat/>
    <w:rsid w:val="00DA0516"/>
    <w:pPr>
      <w:keepNext/>
      <w:spacing w:before="240" w:after="120"/>
      <w:jc w:val="both"/>
      <w:outlineLvl w:val="1"/>
    </w:pPr>
    <w:rPr>
      <w:b/>
      <w:bCs/>
      <w:iCs/>
      <w:noProof/>
      <w:lang w:val="en-US"/>
    </w:rPr>
  </w:style>
  <w:style w:type="paragraph" w:styleId="Heading3">
    <w:name w:val="heading 3"/>
    <w:basedOn w:val="Normal"/>
    <w:next w:val="Normal"/>
    <w:qFormat/>
    <w:rsid w:val="00727B34"/>
    <w:pPr>
      <w:keepNext/>
      <w:numPr>
        <w:ilvl w:val="2"/>
        <w:numId w:val="6"/>
      </w:numPr>
      <w:spacing w:after="240"/>
      <w:jc w:val="both"/>
      <w:outlineLvl w:val="2"/>
    </w:pPr>
    <w:rPr>
      <w:i/>
    </w:rPr>
  </w:style>
  <w:style w:type="paragraph" w:styleId="Heading4">
    <w:name w:val="heading 4"/>
    <w:basedOn w:val="Normal"/>
    <w:next w:val="Normal"/>
    <w:qFormat/>
    <w:rsid w:val="00727B34"/>
    <w:pPr>
      <w:keepNext/>
      <w:numPr>
        <w:ilvl w:val="3"/>
        <w:numId w:val="6"/>
      </w:numPr>
      <w:spacing w:after="240"/>
      <w:jc w:val="both"/>
      <w:outlineLvl w:val="3"/>
    </w:pPr>
  </w:style>
  <w:style w:type="paragraph" w:styleId="Heading5">
    <w:name w:val="heading 5"/>
    <w:basedOn w:val="Normal"/>
    <w:next w:val="Normal"/>
    <w:link w:val="Heading5Char"/>
    <w:qFormat/>
    <w:rsid w:val="00165F58"/>
    <w:pPr>
      <w:keepNext/>
      <w:keepLines/>
      <w:numPr>
        <w:ilvl w:val="4"/>
        <w:numId w:val="6"/>
      </w:numPr>
      <w:spacing w:before="200"/>
      <w:outlineLvl w:val="4"/>
    </w:pPr>
    <w:rPr>
      <w:rFonts w:ascii="Cambria" w:hAnsi="Cambria"/>
      <w:color w:val="243F60"/>
    </w:rPr>
  </w:style>
  <w:style w:type="paragraph" w:styleId="Heading6">
    <w:name w:val="heading 6"/>
    <w:basedOn w:val="Normal"/>
    <w:next w:val="Normal"/>
    <w:link w:val="Heading6Char"/>
    <w:qFormat/>
    <w:rsid w:val="00165F58"/>
    <w:pPr>
      <w:keepNext/>
      <w:keepLines/>
      <w:numPr>
        <w:ilvl w:val="5"/>
        <w:numId w:val="6"/>
      </w:numPr>
      <w:spacing w:before="200"/>
      <w:outlineLvl w:val="5"/>
    </w:pPr>
    <w:rPr>
      <w:rFonts w:ascii="Cambria" w:hAnsi="Cambria"/>
      <w:i/>
      <w:iCs/>
      <w:color w:val="243F60"/>
    </w:rPr>
  </w:style>
  <w:style w:type="paragraph" w:styleId="Heading7">
    <w:name w:val="heading 7"/>
    <w:basedOn w:val="Normal"/>
    <w:next w:val="Normal"/>
    <w:link w:val="Heading7Char"/>
    <w:qFormat/>
    <w:rsid w:val="00165F58"/>
    <w:pPr>
      <w:keepNext/>
      <w:keepLines/>
      <w:numPr>
        <w:ilvl w:val="6"/>
        <w:numId w:val="6"/>
      </w:numPr>
      <w:spacing w:before="200"/>
      <w:outlineLvl w:val="6"/>
    </w:pPr>
    <w:rPr>
      <w:rFonts w:ascii="Cambria" w:hAnsi="Cambria"/>
      <w:i/>
      <w:iCs/>
      <w:color w:val="404040"/>
    </w:rPr>
  </w:style>
  <w:style w:type="paragraph" w:styleId="Heading8">
    <w:name w:val="heading 8"/>
    <w:basedOn w:val="Normal"/>
    <w:next w:val="Normal"/>
    <w:link w:val="Heading8Char"/>
    <w:qFormat/>
    <w:rsid w:val="00165F58"/>
    <w:pPr>
      <w:keepNext/>
      <w:keepLines/>
      <w:numPr>
        <w:ilvl w:val="7"/>
        <w:numId w:val="6"/>
      </w:numPr>
      <w:spacing w:before="200"/>
      <w:outlineLvl w:val="7"/>
    </w:pPr>
    <w:rPr>
      <w:rFonts w:ascii="Cambria" w:hAnsi="Cambria"/>
      <w:color w:val="404040"/>
    </w:rPr>
  </w:style>
  <w:style w:type="paragraph" w:styleId="Heading9">
    <w:name w:val="heading 9"/>
    <w:basedOn w:val="Normal"/>
    <w:next w:val="Normal"/>
    <w:link w:val="Heading9Char"/>
    <w:qFormat/>
    <w:rsid w:val="00165F58"/>
    <w:pPr>
      <w:keepNext/>
      <w:keepLines/>
      <w:numPr>
        <w:ilvl w:val="8"/>
        <w:numId w:val="6"/>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727B34"/>
    <w:pPr>
      <w:spacing w:after="240"/>
      <w:ind w:left="357" w:hanging="357"/>
      <w:jc w:val="both"/>
    </w:pPr>
  </w:style>
  <w:style w:type="paragraph" w:customStyle="1" w:styleId="SubTitle1">
    <w:name w:val="SubTitle 1"/>
    <w:basedOn w:val="Normal"/>
    <w:next w:val="SubTitle2"/>
    <w:rsid w:val="00727B34"/>
    <w:pPr>
      <w:spacing w:after="240"/>
      <w:jc w:val="center"/>
    </w:pPr>
    <w:rPr>
      <w:b/>
      <w:sz w:val="40"/>
    </w:rPr>
  </w:style>
  <w:style w:type="paragraph" w:customStyle="1" w:styleId="SubTitle2">
    <w:name w:val="SubTitle 2"/>
    <w:basedOn w:val="Normal"/>
    <w:rsid w:val="00727B34"/>
    <w:pPr>
      <w:spacing w:after="240"/>
      <w:jc w:val="center"/>
    </w:pPr>
    <w:rPr>
      <w:b/>
      <w:sz w:val="32"/>
    </w:rPr>
  </w:style>
  <w:style w:type="paragraph" w:styleId="TOC1">
    <w:name w:val="toc 1"/>
    <w:basedOn w:val="Normal"/>
    <w:next w:val="Normal"/>
    <w:uiPriority w:val="39"/>
    <w:rsid w:val="00C80B66"/>
    <w:pPr>
      <w:tabs>
        <w:tab w:val="right" w:leader="dot" w:pos="8640"/>
      </w:tabs>
      <w:spacing w:before="120" w:after="120"/>
      <w:ind w:left="482" w:right="720" w:hanging="482"/>
      <w:jc w:val="both"/>
    </w:pPr>
    <w:rPr>
      <w:rFonts w:ascii="Verdana" w:hAnsi="Verdana"/>
      <w:caps/>
    </w:rPr>
  </w:style>
  <w:style w:type="paragraph" w:styleId="TOC2">
    <w:name w:val="toc 2"/>
    <w:basedOn w:val="Normal"/>
    <w:next w:val="Normal"/>
    <w:uiPriority w:val="39"/>
    <w:rsid w:val="001B7BF2"/>
    <w:pPr>
      <w:tabs>
        <w:tab w:val="right" w:leader="dot" w:pos="8640"/>
      </w:tabs>
      <w:spacing w:before="60" w:after="60"/>
      <w:ind w:left="1077" w:right="720" w:hanging="595"/>
      <w:jc w:val="both"/>
    </w:pPr>
    <w:rPr>
      <w:rFonts w:ascii="Verdana" w:hAnsi="Verdana"/>
      <w:sz w:val="18"/>
    </w:rPr>
  </w:style>
  <w:style w:type="paragraph" w:styleId="TOC3">
    <w:name w:val="toc 3"/>
    <w:basedOn w:val="Normal"/>
    <w:next w:val="Normal"/>
    <w:uiPriority w:val="39"/>
    <w:rsid w:val="001B7BF2"/>
    <w:pPr>
      <w:tabs>
        <w:tab w:val="right" w:leader="dot" w:pos="8640"/>
      </w:tabs>
      <w:spacing w:before="60" w:after="60"/>
      <w:ind w:left="1916" w:right="720" w:hanging="839"/>
      <w:jc w:val="both"/>
    </w:pPr>
    <w:rPr>
      <w:rFonts w:ascii="Verdana" w:hAnsi="Verdana"/>
      <w:sz w:val="16"/>
    </w:rPr>
  </w:style>
  <w:style w:type="paragraph" w:customStyle="1" w:styleId="ListDash3">
    <w:name w:val="List Dash 3"/>
    <w:basedOn w:val="Normal"/>
    <w:rsid w:val="00727B34"/>
    <w:pPr>
      <w:numPr>
        <w:numId w:val="1"/>
      </w:numPr>
      <w:spacing w:after="240"/>
      <w:jc w:val="both"/>
    </w:pPr>
  </w:style>
  <w:style w:type="paragraph" w:customStyle="1" w:styleId="ListNumber1">
    <w:name w:val="List Number 1"/>
    <w:basedOn w:val="Normal"/>
    <w:rsid w:val="00727B34"/>
    <w:pPr>
      <w:numPr>
        <w:numId w:val="2"/>
      </w:numPr>
      <w:spacing w:after="240"/>
      <w:jc w:val="both"/>
    </w:pPr>
  </w:style>
  <w:style w:type="paragraph" w:customStyle="1" w:styleId="ListNumber1Level2">
    <w:name w:val="List Number 1 (Level 2)"/>
    <w:basedOn w:val="Normal"/>
    <w:rsid w:val="00727B34"/>
    <w:pPr>
      <w:numPr>
        <w:ilvl w:val="1"/>
        <w:numId w:val="2"/>
      </w:numPr>
      <w:spacing w:after="240"/>
      <w:jc w:val="both"/>
    </w:pPr>
  </w:style>
  <w:style w:type="paragraph" w:customStyle="1" w:styleId="ListNumber1Level3">
    <w:name w:val="List Number 1 (Level 3)"/>
    <w:basedOn w:val="Normal"/>
    <w:rsid w:val="00727B34"/>
    <w:pPr>
      <w:numPr>
        <w:ilvl w:val="2"/>
        <w:numId w:val="2"/>
      </w:numPr>
      <w:spacing w:after="240"/>
      <w:jc w:val="both"/>
    </w:pPr>
  </w:style>
  <w:style w:type="paragraph" w:customStyle="1" w:styleId="ListNumber1Level4">
    <w:name w:val="List Number 1 (Level 4)"/>
    <w:basedOn w:val="Normal"/>
    <w:rsid w:val="00727B34"/>
    <w:pPr>
      <w:numPr>
        <w:ilvl w:val="3"/>
        <w:numId w:val="2"/>
      </w:numPr>
      <w:spacing w:after="240"/>
      <w:jc w:val="both"/>
    </w:pPr>
  </w:style>
  <w:style w:type="paragraph" w:customStyle="1" w:styleId="TOCHeading1">
    <w:name w:val="TOC Heading1"/>
    <w:basedOn w:val="Normal"/>
    <w:next w:val="Normal"/>
    <w:uiPriority w:val="39"/>
    <w:qFormat/>
    <w:rsid w:val="00727B34"/>
    <w:pPr>
      <w:keepNext/>
      <w:spacing w:before="240" w:after="240"/>
      <w:jc w:val="center"/>
    </w:pPr>
    <w:rPr>
      <w:b/>
    </w:rPr>
  </w:style>
  <w:style w:type="character" w:styleId="FootnoteReference">
    <w:name w:val="footnote reference"/>
    <w:uiPriority w:val="99"/>
    <w:rsid w:val="00727B34"/>
    <w:rPr>
      <w:vertAlign w:val="superscript"/>
    </w:rPr>
  </w:style>
  <w:style w:type="character" w:styleId="Hyperlink">
    <w:name w:val="Hyperlink"/>
    <w:uiPriority w:val="99"/>
    <w:rsid w:val="00727B34"/>
    <w:rPr>
      <w:color w:val="0000FF"/>
      <w:u w:val="single"/>
    </w:rPr>
  </w:style>
  <w:style w:type="table" w:styleId="TableGrid">
    <w:name w:val="Table Grid"/>
    <w:basedOn w:val="TableNormal"/>
    <w:rsid w:val="0072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27B34"/>
    <w:pPr>
      <w:tabs>
        <w:tab w:val="center" w:pos="4536"/>
        <w:tab w:val="right" w:pos="9072"/>
      </w:tabs>
    </w:pPr>
  </w:style>
  <w:style w:type="character" w:styleId="PageNumber">
    <w:name w:val="page number"/>
    <w:basedOn w:val="DefaultParagraphFont"/>
    <w:rsid w:val="00727B34"/>
  </w:style>
  <w:style w:type="character" w:styleId="FollowedHyperlink">
    <w:name w:val="FollowedHyperlink"/>
    <w:rsid w:val="00094440"/>
    <w:rPr>
      <w:color w:val="800080"/>
      <w:u w:val="single"/>
    </w:rPr>
  </w:style>
  <w:style w:type="paragraph" w:styleId="BalloonText">
    <w:name w:val="Balloon Text"/>
    <w:basedOn w:val="Normal"/>
    <w:semiHidden/>
    <w:rsid w:val="002909C0"/>
    <w:rPr>
      <w:rFonts w:ascii="Tahoma" w:hAnsi="Tahoma" w:cs="Tahoma"/>
      <w:sz w:val="16"/>
      <w:szCs w:val="16"/>
    </w:rPr>
  </w:style>
  <w:style w:type="paragraph" w:customStyle="1" w:styleId="Application5">
    <w:name w:val="Application5"/>
    <w:basedOn w:val="Normal"/>
    <w:autoRedefine/>
    <w:rsid w:val="00824541"/>
    <w:pPr>
      <w:numPr>
        <w:numId w:val="3"/>
      </w:numPr>
      <w:jc w:val="both"/>
    </w:pPr>
  </w:style>
  <w:style w:type="character" w:styleId="CommentReference">
    <w:name w:val="annotation reference"/>
    <w:semiHidden/>
    <w:rsid w:val="00D022BD"/>
    <w:rPr>
      <w:sz w:val="16"/>
      <w:szCs w:val="16"/>
    </w:rPr>
  </w:style>
  <w:style w:type="paragraph" w:styleId="CommentText">
    <w:name w:val="annotation text"/>
    <w:basedOn w:val="Normal"/>
    <w:semiHidden/>
    <w:rsid w:val="00D022BD"/>
  </w:style>
  <w:style w:type="paragraph" w:styleId="CommentSubject">
    <w:name w:val="annotation subject"/>
    <w:basedOn w:val="CommentText"/>
    <w:next w:val="CommentText"/>
    <w:semiHidden/>
    <w:rsid w:val="00D022BD"/>
    <w:rPr>
      <w:b/>
      <w:bCs/>
    </w:rPr>
  </w:style>
  <w:style w:type="paragraph" w:styleId="Header">
    <w:name w:val="header"/>
    <w:basedOn w:val="Normal"/>
    <w:rsid w:val="00E2627B"/>
    <w:pPr>
      <w:tabs>
        <w:tab w:val="center" w:pos="4536"/>
        <w:tab w:val="right" w:pos="9072"/>
      </w:tabs>
    </w:pPr>
  </w:style>
  <w:style w:type="paragraph" w:customStyle="1" w:styleId="Text4">
    <w:name w:val="Text 4"/>
    <w:basedOn w:val="Normal"/>
    <w:rsid w:val="002369B6"/>
    <w:pPr>
      <w:tabs>
        <w:tab w:val="left" w:pos="2302"/>
      </w:tabs>
      <w:spacing w:after="240"/>
      <w:ind w:left="1202"/>
      <w:jc w:val="both"/>
    </w:pPr>
  </w:style>
  <w:style w:type="paragraph" w:customStyle="1" w:styleId="Text2">
    <w:name w:val="Text 2"/>
    <w:basedOn w:val="Normal"/>
    <w:rsid w:val="002369B6"/>
    <w:pPr>
      <w:tabs>
        <w:tab w:val="left" w:pos="2161"/>
      </w:tabs>
      <w:spacing w:after="240"/>
      <w:ind w:left="1202"/>
      <w:jc w:val="both"/>
    </w:pPr>
  </w:style>
  <w:style w:type="paragraph" w:customStyle="1" w:styleId="Text1">
    <w:name w:val="Text 1"/>
    <w:basedOn w:val="Normal"/>
    <w:rsid w:val="001E17F2"/>
    <w:pPr>
      <w:spacing w:before="120" w:after="120"/>
      <w:ind w:left="850"/>
      <w:jc w:val="both"/>
    </w:pPr>
    <w:rPr>
      <w:lang w:eastAsia="de-DE"/>
    </w:rPr>
  </w:style>
  <w:style w:type="paragraph" w:customStyle="1" w:styleId="ListDash1">
    <w:name w:val="List Dash 1"/>
    <w:basedOn w:val="Normal"/>
    <w:rsid w:val="001E17F2"/>
    <w:pPr>
      <w:numPr>
        <w:numId w:val="4"/>
      </w:numPr>
      <w:spacing w:before="120" w:after="120"/>
      <w:jc w:val="both"/>
    </w:pPr>
    <w:rPr>
      <w:lang w:eastAsia="de-DE"/>
    </w:rPr>
  </w:style>
  <w:style w:type="character" w:styleId="Emphasis">
    <w:name w:val="Emphasis"/>
    <w:qFormat/>
    <w:rsid w:val="00ED4293"/>
    <w:rPr>
      <w:i/>
      <w:iCs/>
    </w:rPr>
  </w:style>
  <w:style w:type="paragraph" w:styleId="NormalWeb">
    <w:name w:val="Normal (Web)"/>
    <w:basedOn w:val="Normal"/>
    <w:uiPriority w:val="99"/>
    <w:rsid w:val="00FD4297"/>
    <w:pPr>
      <w:spacing w:before="100" w:beforeAutospacing="1" w:after="100" w:afterAutospacing="1"/>
    </w:pPr>
  </w:style>
  <w:style w:type="character" w:customStyle="1" w:styleId="searchhit">
    <w:name w:val="search_hit"/>
    <w:basedOn w:val="DefaultParagraphFont"/>
    <w:rsid w:val="00FD4297"/>
  </w:style>
  <w:style w:type="paragraph" w:customStyle="1" w:styleId="Default">
    <w:name w:val="Default"/>
    <w:rsid w:val="00F84A2D"/>
    <w:pPr>
      <w:autoSpaceDE w:val="0"/>
      <w:autoSpaceDN w:val="0"/>
      <w:adjustRightInd w:val="0"/>
    </w:pPr>
    <w:rPr>
      <w:color w:val="000000"/>
      <w:sz w:val="24"/>
      <w:szCs w:val="24"/>
      <w:lang w:eastAsia="en-US"/>
    </w:rPr>
  </w:style>
  <w:style w:type="paragraph" w:customStyle="1" w:styleId="Text3">
    <w:name w:val="Text 3"/>
    <w:basedOn w:val="Normal"/>
    <w:rsid w:val="001233D7"/>
    <w:pPr>
      <w:spacing w:before="120" w:after="120"/>
      <w:ind w:left="850"/>
      <w:jc w:val="both"/>
    </w:pPr>
    <w:rPr>
      <w:lang w:eastAsia="de-DE"/>
    </w:rPr>
  </w:style>
  <w:style w:type="paragraph" w:customStyle="1" w:styleId="Titreobjet">
    <w:name w:val="Titre objet"/>
    <w:basedOn w:val="Normal"/>
    <w:next w:val="Normal"/>
    <w:rsid w:val="00D26203"/>
    <w:pPr>
      <w:spacing w:before="360" w:after="360"/>
      <w:jc w:val="center"/>
    </w:pPr>
    <w:rPr>
      <w:b/>
      <w:lang w:eastAsia="de-DE"/>
    </w:rPr>
  </w:style>
  <w:style w:type="paragraph" w:customStyle="1" w:styleId="Typedudocument">
    <w:name w:val="Type du document"/>
    <w:basedOn w:val="Normal"/>
    <w:next w:val="Normal"/>
    <w:rsid w:val="00D26203"/>
    <w:pPr>
      <w:spacing w:before="360"/>
      <w:jc w:val="center"/>
    </w:pPr>
    <w:rPr>
      <w:b/>
      <w:lang w:eastAsia="de-DE"/>
    </w:rPr>
  </w:style>
  <w:style w:type="paragraph" w:styleId="ListNumber">
    <w:name w:val="List Number"/>
    <w:basedOn w:val="Normal"/>
    <w:rsid w:val="001C3019"/>
    <w:pPr>
      <w:numPr>
        <w:numId w:val="5"/>
      </w:numPr>
      <w:spacing w:after="240"/>
      <w:jc w:val="both"/>
    </w:pPr>
    <w:rPr>
      <w:lang w:val="fr-FR"/>
    </w:rPr>
  </w:style>
  <w:style w:type="paragraph" w:customStyle="1" w:styleId="ListNumberLevel2">
    <w:name w:val="List Number (Level 2)"/>
    <w:basedOn w:val="Normal"/>
    <w:rsid w:val="001C3019"/>
    <w:pPr>
      <w:numPr>
        <w:ilvl w:val="1"/>
        <w:numId w:val="5"/>
      </w:numPr>
      <w:spacing w:after="240"/>
      <w:jc w:val="both"/>
    </w:pPr>
    <w:rPr>
      <w:lang w:val="fr-FR"/>
    </w:rPr>
  </w:style>
  <w:style w:type="paragraph" w:customStyle="1" w:styleId="ListNumberLevel3">
    <w:name w:val="List Number (Level 3)"/>
    <w:basedOn w:val="Normal"/>
    <w:rsid w:val="001C3019"/>
    <w:pPr>
      <w:numPr>
        <w:ilvl w:val="2"/>
        <w:numId w:val="5"/>
      </w:numPr>
      <w:spacing w:after="240"/>
      <w:jc w:val="both"/>
    </w:pPr>
    <w:rPr>
      <w:lang w:val="fr-FR"/>
    </w:rPr>
  </w:style>
  <w:style w:type="paragraph" w:customStyle="1" w:styleId="ListNumberLevel4">
    <w:name w:val="List Number (Level 4)"/>
    <w:basedOn w:val="Normal"/>
    <w:rsid w:val="001C3019"/>
    <w:pPr>
      <w:numPr>
        <w:ilvl w:val="3"/>
        <w:numId w:val="5"/>
      </w:numPr>
      <w:spacing w:after="240"/>
      <w:jc w:val="both"/>
    </w:pPr>
    <w:rPr>
      <w:lang w:val="fr-FR"/>
    </w:rPr>
  </w:style>
  <w:style w:type="paragraph" w:customStyle="1" w:styleId="ColorfulShading-Accent11">
    <w:name w:val="Colorful Shading - Accent 11"/>
    <w:hidden/>
    <w:uiPriority w:val="99"/>
    <w:semiHidden/>
    <w:rsid w:val="00384715"/>
    <w:rPr>
      <w:sz w:val="24"/>
      <w:szCs w:val="24"/>
      <w:lang w:eastAsia="en-US"/>
    </w:rPr>
  </w:style>
  <w:style w:type="paragraph" w:customStyle="1" w:styleId="CM1">
    <w:name w:val="CM1"/>
    <w:basedOn w:val="Default"/>
    <w:next w:val="Default"/>
    <w:uiPriority w:val="99"/>
    <w:rsid w:val="006749E4"/>
    <w:rPr>
      <w:rFonts w:ascii="EUAlbertina" w:hAnsi="EUAlbertina"/>
      <w:color w:val="auto"/>
    </w:rPr>
  </w:style>
  <w:style w:type="paragraph" w:customStyle="1" w:styleId="CM3">
    <w:name w:val="CM3"/>
    <w:basedOn w:val="Default"/>
    <w:next w:val="Default"/>
    <w:uiPriority w:val="99"/>
    <w:rsid w:val="006749E4"/>
    <w:rPr>
      <w:rFonts w:ascii="EUAlbertina" w:hAnsi="EUAlbertina"/>
      <w:color w:val="auto"/>
    </w:rPr>
  </w:style>
  <w:style w:type="paragraph" w:customStyle="1" w:styleId="ColorfulList-Accent11">
    <w:name w:val="Colorful List - Accent 11"/>
    <w:basedOn w:val="Normal"/>
    <w:uiPriority w:val="34"/>
    <w:qFormat/>
    <w:rsid w:val="007B0099"/>
    <w:pPr>
      <w:ind w:left="720"/>
      <w:contextualSpacing/>
    </w:pPr>
  </w:style>
  <w:style w:type="character" w:customStyle="1" w:styleId="Heading5Char">
    <w:name w:val="Heading 5 Char"/>
    <w:link w:val="Heading5"/>
    <w:rsid w:val="00165F58"/>
    <w:rPr>
      <w:rFonts w:ascii="Cambria" w:hAnsi="Cambria"/>
      <w:color w:val="243F60"/>
      <w:sz w:val="24"/>
      <w:szCs w:val="24"/>
      <w:lang w:eastAsia="en-US"/>
    </w:rPr>
  </w:style>
  <w:style w:type="character" w:customStyle="1" w:styleId="Heading6Char">
    <w:name w:val="Heading 6 Char"/>
    <w:link w:val="Heading6"/>
    <w:rsid w:val="00165F58"/>
    <w:rPr>
      <w:rFonts w:ascii="Cambria" w:hAnsi="Cambria"/>
      <w:i/>
      <w:iCs/>
      <w:color w:val="243F60"/>
      <w:sz w:val="24"/>
      <w:szCs w:val="24"/>
      <w:lang w:eastAsia="en-US"/>
    </w:rPr>
  </w:style>
  <w:style w:type="character" w:customStyle="1" w:styleId="Heading7Char">
    <w:name w:val="Heading 7 Char"/>
    <w:link w:val="Heading7"/>
    <w:rsid w:val="00165F58"/>
    <w:rPr>
      <w:rFonts w:ascii="Cambria" w:hAnsi="Cambria"/>
      <w:i/>
      <w:iCs/>
      <w:color w:val="404040"/>
      <w:sz w:val="24"/>
      <w:szCs w:val="24"/>
      <w:lang w:eastAsia="en-US"/>
    </w:rPr>
  </w:style>
  <w:style w:type="character" w:customStyle="1" w:styleId="Heading8Char">
    <w:name w:val="Heading 8 Char"/>
    <w:link w:val="Heading8"/>
    <w:rsid w:val="00165F58"/>
    <w:rPr>
      <w:rFonts w:ascii="Cambria" w:hAnsi="Cambria"/>
      <w:color w:val="404040"/>
      <w:lang w:eastAsia="en-US"/>
    </w:rPr>
  </w:style>
  <w:style w:type="character" w:customStyle="1" w:styleId="Heading9Char">
    <w:name w:val="Heading 9 Char"/>
    <w:link w:val="Heading9"/>
    <w:rsid w:val="00165F58"/>
    <w:rPr>
      <w:rFonts w:ascii="Cambria" w:hAnsi="Cambria"/>
      <w:i/>
      <w:iCs/>
      <w:color w:val="404040"/>
      <w:lang w:eastAsia="en-US"/>
    </w:rPr>
  </w:style>
  <w:style w:type="character" w:customStyle="1" w:styleId="FootnoteTextChar">
    <w:name w:val="Footnote Text Char"/>
    <w:uiPriority w:val="99"/>
    <w:locked/>
    <w:rsid w:val="00C87BE2"/>
    <w:rPr>
      <w:lang w:eastAsia="en-US"/>
    </w:rPr>
  </w:style>
  <w:style w:type="character" w:customStyle="1" w:styleId="Heading1Char">
    <w:name w:val="Heading 1 Char"/>
    <w:rsid w:val="008A6768"/>
    <w:rPr>
      <w:rFonts w:ascii="Verdana" w:hAnsi="Verdana"/>
      <w:b/>
      <w:smallCaps/>
      <w:shd w:val="clear" w:color="auto" w:fill="EEECE1"/>
    </w:rPr>
  </w:style>
  <w:style w:type="paragraph" w:styleId="Index1">
    <w:name w:val="index 1"/>
    <w:basedOn w:val="Normal"/>
    <w:next w:val="Normal"/>
    <w:autoRedefine/>
    <w:rsid w:val="009C5EB9"/>
    <w:pPr>
      <w:ind w:left="240" w:hanging="240"/>
    </w:pPr>
  </w:style>
  <w:style w:type="paragraph" w:customStyle="1" w:styleId="Footnote">
    <w:name w:val="Footnote"/>
    <w:basedOn w:val="FootnoteText"/>
    <w:qFormat/>
    <w:rsid w:val="00B16F77"/>
    <w:pPr>
      <w:tabs>
        <w:tab w:val="left" w:pos="284"/>
      </w:tabs>
      <w:spacing w:after="0"/>
      <w:ind w:left="284" w:hanging="284"/>
    </w:pPr>
    <w:rPr>
      <w:rFonts w:ascii="Verdana" w:hAnsi="Verdana"/>
      <w:sz w:val="16"/>
      <w:szCs w:val="16"/>
    </w:rPr>
  </w:style>
  <w:style w:type="table" w:styleId="TableClassic3">
    <w:name w:val="Table Classic 3"/>
    <w:basedOn w:val="TableNormal"/>
    <w:unhideWhenUsed/>
    <w:rsid w:val="009A44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
    <w:name w:val="Body Text"/>
    <w:basedOn w:val="Normal"/>
    <w:link w:val="BodyTextChar"/>
    <w:rsid w:val="00CF5226"/>
    <w:pPr>
      <w:spacing w:before="120" w:after="120"/>
      <w:jc w:val="both"/>
    </w:pPr>
    <w:rPr>
      <w:rFonts w:ascii="Arial" w:hAnsi="Arial"/>
    </w:rPr>
  </w:style>
  <w:style w:type="character" w:customStyle="1" w:styleId="BodyTextChar">
    <w:name w:val="Body Text Char"/>
    <w:link w:val="BodyText"/>
    <w:rsid w:val="00CF5226"/>
    <w:rPr>
      <w:rFonts w:ascii="Arial" w:hAnsi="Arial"/>
      <w:sz w:val="24"/>
      <w:szCs w:val="24"/>
      <w:lang w:eastAsia="en-GB"/>
    </w:rPr>
  </w:style>
  <w:style w:type="character" w:customStyle="1" w:styleId="Heading1Char1">
    <w:name w:val="Heading 1 Char1"/>
    <w:rsid w:val="00187844"/>
    <w:rPr>
      <w:rFonts w:ascii="Verdana" w:eastAsia="Times New Roman" w:hAnsi="Verdana" w:cs="Times New Roman"/>
      <w:b/>
      <w:bCs/>
      <w:sz w:val="24"/>
      <w:szCs w:val="24"/>
      <w:shd w:val="clear" w:color="auto" w:fill="F2F2F2"/>
    </w:rPr>
  </w:style>
  <w:style w:type="character" w:customStyle="1" w:styleId="Heading1Char2">
    <w:name w:val="Heading 1 Char2"/>
    <w:link w:val="Heading1"/>
    <w:rsid w:val="00F877AC"/>
    <w:rPr>
      <w:b/>
      <w:bCs/>
      <w:smallCaps/>
      <w:noProof/>
      <w:sz w:val="24"/>
      <w:szCs w:val="24"/>
      <w:lang w:val="en-US" w:eastAsia="en-US"/>
    </w:rPr>
  </w:style>
  <w:style w:type="paragraph" w:customStyle="1" w:styleId="footnote0">
    <w:name w:val="footnote"/>
    <w:basedOn w:val="Normal"/>
    <w:qFormat/>
    <w:rsid w:val="00520FCB"/>
    <w:pPr>
      <w:tabs>
        <w:tab w:val="left" w:pos="284"/>
      </w:tabs>
      <w:ind w:left="284" w:hanging="284"/>
      <w:jc w:val="both"/>
    </w:pPr>
    <w:rPr>
      <w:rFonts w:ascii="Verdana" w:hAnsi="Verdana"/>
      <w:sz w:val="16"/>
    </w:rPr>
  </w:style>
  <w:style w:type="paragraph" w:styleId="PlainText">
    <w:name w:val="Plain Text"/>
    <w:basedOn w:val="Normal"/>
    <w:link w:val="PlainTextChar"/>
    <w:uiPriority w:val="99"/>
    <w:unhideWhenUsed/>
    <w:rsid w:val="00DA1BD4"/>
    <w:rPr>
      <w:rFonts w:ascii="Calibri" w:eastAsia="Calibri" w:hAnsi="Calibri" w:cs="Calibri"/>
      <w:sz w:val="22"/>
      <w:szCs w:val="22"/>
    </w:rPr>
  </w:style>
  <w:style w:type="character" w:customStyle="1" w:styleId="PlainTextChar">
    <w:name w:val="Plain Text Char"/>
    <w:link w:val="PlainText"/>
    <w:uiPriority w:val="99"/>
    <w:rsid w:val="00DA1BD4"/>
    <w:rPr>
      <w:rFonts w:ascii="Calibri" w:eastAsia="Calibri" w:hAnsi="Calibri" w:cs="Calibri"/>
      <w:sz w:val="22"/>
      <w:szCs w:val="22"/>
      <w:lang w:eastAsia="en-US"/>
    </w:rPr>
  </w:style>
  <w:style w:type="character" w:customStyle="1" w:styleId="Heading2Char">
    <w:name w:val="Heading 2 Char"/>
    <w:link w:val="Heading2"/>
    <w:rsid w:val="00DA0516"/>
    <w:rPr>
      <w:b/>
      <w:bCs/>
      <w:iCs/>
      <w:noProof/>
      <w:sz w:val="24"/>
      <w:szCs w:val="24"/>
      <w:lang w:val="en-US"/>
    </w:rPr>
  </w:style>
  <w:style w:type="character" w:styleId="Strong">
    <w:name w:val="Strong"/>
    <w:uiPriority w:val="22"/>
    <w:qFormat/>
    <w:rsid w:val="00CC062A"/>
    <w:rPr>
      <w:b/>
      <w:bCs/>
    </w:rPr>
  </w:style>
  <w:style w:type="character" w:customStyle="1" w:styleId="DeltaViewInsertion">
    <w:name w:val="DeltaView Insertion"/>
    <w:uiPriority w:val="99"/>
    <w:rsid w:val="00B46ABE"/>
    <w:rPr>
      <w:b/>
      <w:bCs/>
      <w:i/>
      <w:iCs/>
      <w:color w:val="000000"/>
    </w:rPr>
  </w:style>
  <w:style w:type="paragraph" w:customStyle="1" w:styleId="Tiret1">
    <w:name w:val="Tiret 1"/>
    <w:basedOn w:val="Normal"/>
    <w:rsid w:val="005C77E9"/>
    <w:pPr>
      <w:numPr>
        <w:numId w:val="8"/>
      </w:numPr>
      <w:spacing w:before="120" w:after="120"/>
      <w:jc w:val="both"/>
    </w:pPr>
  </w:style>
  <w:style w:type="paragraph" w:customStyle="1" w:styleId="Bullet1">
    <w:name w:val="Bullet 1"/>
    <w:basedOn w:val="Normal"/>
    <w:rsid w:val="00561C01"/>
    <w:pPr>
      <w:numPr>
        <w:numId w:val="10"/>
      </w:numPr>
      <w:spacing w:before="120" w:after="120"/>
      <w:jc w:val="both"/>
    </w:pPr>
  </w:style>
  <w:style w:type="paragraph" w:styleId="ListParagraph">
    <w:name w:val="List Paragraph"/>
    <w:basedOn w:val="Normal"/>
    <w:uiPriority w:val="34"/>
    <w:qFormat/>
    <w:rsid w:val="009B0351"/>
    <w:pPr>
      <w:ind w:left="720"/>
      <w:contextualSpacing/>
    </w:pPr>
  </w:style>
  <w:style w:type="paragraph" w:styleId="Revision">
    <w:name w:val="Revision"/>
    <w:hidden/>
    <w:uiPriority w:val="99"/>
    <w:semiHidden/>
    <w:rsid w:val="00B60082"/>
    <w:rPr>
      <w:sz w:val="24"/>
      <w:szCs w:val="24"/>
      <w:lang w:eastAsia="en-US"/>
    </w:rPr>
  </w:style>
  <w:style w:type="paragraph" w:customStyle="1" w:styleId="ListDash">
    <w:name w:val="List Dash"/>
    <w:basedOn w:val="Normal"/>
    <w:rsid w:val="00AE2DC0"/>
    <w:pPr>
      <w:numPr>
        <w:numId w:val="14"/>
      </w:numPr>
      <w:spacing w:after="240"/>
      <w:ind w:right="720"/>
      <w:jc w:val="both"/>
    </w:pPr>
    <w:rPr>
      <w:lang w:val="fr-FR"/>
    </w:rPr>
  </w:style>
  <w:style w:type="numbering" w:customStyle="1" w:styleId="Style1">
    <w:name w:val="Style1"/>
    <w:uiPriority w:val="99"/>
    <w:rsid w:val="00C65A8D"/>
    <w:pPr>
      <w:numPr>
        <w:numId w:val="18"/>
      </w:numPr>
    </w:pPr>
  </w:style>
  <w:style w:type="character" w:customStyle="1" w:styleId="FooterChar">
    <w:name w:val="Footer Char"/>
    <w:basedOn w:val="DefaultParagraphFont"/>
    <w:link w:val="Footer"/>
    <w:uiPriority w:val="99"/>
    <w:rsid w:val="00E91A62"/>
    <w:rPr>
      <w:sz w:val="24"/>
      <w:szCs w:val="24"/>
      <w:lang w:eastAsia="en-US"/>
    </w:rPr>
  </w:style>
  <w:style w:type="table" w:customStyle="1" w:styleId="TableGrid1">
    <w:name w:val="Table Grid1"/>
    <w:basedOn w:val="TableNormal"/>
    <w:next w:val="TableGrid"/>
    <w:uiPriority w:val="59"/>
    <w:rsid w:val="00A9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80A"/>
  </w:style>
  <w:style w:type="paragraph" w:styleId="Heading1">
    <w:name w:val="heading 1"/>
    <w:basedOn w:val="Normal"/>
    <w:next w:val="Normal"/>
    <w:link w:val="Heading1Char2"/>
    <w:qFormat/>
    <w:rsid w:val="00F877AC"/>
    <w:pPr>
      <w:outlineLvl w:val="0"/>
    </w:pPr>
    <w:rPr>
      <w:b/>
      <w:bCs/>
      <w:smallCaps/>
      <w:noProof/>
      <w:lang w:val="en-US"/>
    </w:rPr>
  </w:style>
  <w:style w:type="paragraph" w:styleId="Heading2">
    <w:name w:val="heading 2"/>
    <w:basedOn w:val="Normal"/>
    <w:next w:val="Normal"/>
    <w:link w:val="Heading2Char"/>
    <w:qFormat/>
    <w:rsid w:val="00DA0516"/>
    <w:pPr>
      <w:keepNext/>
      <w:spacing w:before="240" w:after="120"/>
      <w:jc w:val="both"/>
      <w:outlineLvl w:val="1"/>
    </w:pPr>
    <w:rPr>
      <w:b/>
      <w:bCs/>
      <w:iCs/>
      <w:noProof/>
      <w:lang w:val="en-US"/>
    </w:rPr>
  </w:style>
  <w:style w:type="paragraph" w:styleId="Heading3">
    <w:name w:val="heading 3"/>
    <w:basedOn w:val="Normal"/>
    <w:next w:val="Normal"/>
    <w:qFormat/>
    <w:rsid w:val="00727B34"/>
    <w:pPr>
      <w:keepNext/>
      <w:numPr>
        <w:ilvl w:val="2"/>
        <w:numId w:val="6"/>
      </w:numPr>
      <w:spacing w:after="240"/>
      <w:jc w:val="both"/>
      <w:outlineLvl w:val="2"/>
    </w:pPr>
    <w:rPr>
      <w:i/>
    </w:rPr>
  </w:style>
  <w:style w:type="paragraph" w:styleId="Heading4">
    <w:name w:val="heading 4"/>
    <w:basedOn w:val="Normal"/>
    <w:next w:val="Normal"/>
    <w:qFormat/>
    <w:rsid w:val="00727B34"/>
    <w:pPr>
      <w:keepNext/>
      <w:numPr>
        <w:ilvl w:val="3"/>
        <w:numId w:val="6"/>
      </w:numPr>
      <w:spacing w:after="240"/>
      <w:jc w:val="both"/>
      <w:outlineLvl w:val="3"/>
    </w:pPr>
  </w:style>
  <w:style w:type="paragraph" w:styleId="Heading5">
    <w:name w:val="heading 5"/>
    <w:basedOn w:val="Normal"/>
    <w:next w:val="Normal"/>
    <w:link w:val="Heading5Char"/>
    <w:qFormat/>
    <w:rsid w:val="00165F58"/>
    <w:pPr>
      <w:keepNext/>
      <w:keepLines/>
      <w:numPr>
        <w:ilvl w:val="4"/>
        <w:numId w:val="6"/>
      </w:numPr>
      <w:spacing w:before="200"/>
      <w:outlineLvl w:val="4"/>
    </w:pPr>
    <w:rPr>
      <w:rFonts w:ascii="Cambria" w:hAnsi="Cambria"/>
      <w:color w:val="243F60"/>
    </w:rPr>
  </w:style>
  <w:style w:type="paragraph" w:styleId="Heading6">
    <w:name w:val="heading 6"/>
    <w:basedOn w:val="Normal"/>
    <w:next w:val="Normal"/>
    <w:link w:val="Heading6Char"/>
    <w:qFormat/>
    <w:rsid w:val="00165F58"/>
    <w:pPr>
      <w:keepNext/>
      <w:keepLines/>
      <w:numPr>
        <w:ilvl w:val="5"/>
        <w:numId w:val="6"/>
      </w:numPr>
      <w:spacing w:before="200"/>
      <w:outlineLvl w:val="5"/>
    </w:pPr>
    <w:rPr>
      <w:rFonts w:ascii="Cambria" w:hAnsi="Cambria"/>
      <w:i/>
      <w:iCs/>
      <w:color w:val="243F60"/>
    </w:rPr>
  </w:style>
  <w:style w:type="paragraph" w:styleId="Heading7">
    <w:name w:val="heading 7"/>
    <w:basedOn w:val="Normal"/>
    <w:next w:val="Normal"/>
    <w:link w:val="Heading7Char"/>
    <w:qFormat/>
    <w:rsid w:val="00165F58"/>
    <w:pPr>
      <w:keepNext/>
      <w:keepLines/>
      <w:numPr>
        <w:ilvl w:val="6"/>
        <w:numId w:val="6"/>
      </w:numPr>
      <w:spacing w:before="200"/>
      <w:outlineLvl w:val="6"/>
    </w:pPr>
    <w:rPr>
      <w:rFonts w:ascii="Cambria" w:hAnsi="Cambria"/>
      <w:i/>
      <w:iCs/>
      <w:color w:val="404040"/>
    </w:rPr>
  </w:style>
  <w:style w:type="paragraph" w:styleId="Heading8">
    <w:name w:val="heading 8"/>
    <w:basedOn w:val="Normal"/>
    <w:next w:val="Normal"/>
    <w:link w:val="Heading8Char"/>
    <w:qFormat/>
    <w:rsid w:val="00165F58"/>
    <w:pPr>
      <w:keepNext/>
      <w:keepLines/>
      <w:numPr>
        <w:ilvl w:val="7"/>
        <w:numId w:val="6"/>
      </w:numPr>
      <w:spacing w:before="200"/>
      <w:outlineLvl w:val="7"/>
    </w:pPr>
    <w:rPr>
      <w:rFonts w:ascii="Cambria" w:hAnsi="Cambria"/>
      <w:color w:val="404040"/>
    </w:rPr>
  </w:style>
  <w:style w:type="paragraph" w:styleId="Heading9">
    <w:name w:val="heading 9"/>
    <w:basedOn w:val="Normal"/>
    <w:next w:val="Normal"/>
    <w:link w:val="Heading9Char"/>
    <w:qFormat/>
    <w:rsid w:val="00165F58"/>
    <w:pPr>
      <w:keepNext/>
      <w:keepLines/>
      <w:numPr>
        <w:ilvl w:val="8"/>
        <w:numId w:val="6"/>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727B34"/>
    <w:pPr>
      <w:spacing w:after="240"/>
      <w:ind w:left="357" w:hanging="357"/>
      <w:jc w:val="both"/>
    </w:pPr>
  </w:style>
  <w:style w:type="paragraph" w:customStyle="1" w:styleId="SubTitle1">
    <w:name w:val="SubTitle 1"/>
    <w:basedOn w:val="Normal"/>
    <w:next w:val="SubTitle2"/>
    <w:rsid w:val="00727B34"/>
    <w:pPr>
      <w:spacing w:after="240"/>
      <w:jc w:val="center"/>
    </w:pPr>
    <w:rPr>
      <w:b/>
      <w:sz w:val="40"/>
    </w:rPr>
  </w:style>
  <w:style w:type="paragraph" w:customStyle="1" w:styleId="SubTitle2">
    <w:name w:val="SubTitle 2"/>
    <w:basedOn w:val="Normal"/>
    <w:rsid w:val="00727B34"/>
    <w:pPr>
      <w:spacing w:after="240"/>
      <w:jc w:val="center"/>
    </w:pPr>
    <w:rPr>
      <w:b/>
      <w:sz w:val="32"/>
    </w:rPr>
  </w:style>
  <w:style w:type="paragraph" w:styleId="TOC1">
    <w:name w:val="toc 1"/>
    <w:basedOn w:val="Normal"/>
    <w:next w:val="Normal"/>
    <w:uiPriority w:val="39"/>
    <w:rsid w:val="00C80B66"/>
    <w:pPr>
      <w:tabs>
        <w:tab w:val="right" w:leader="dot" w:pos="8640"/>
      </w:tabs>
      <w:spacing w:before="120" w:after="120"/>
      <w:ind w:left="482" w:right="720" w:hanging="482"/>
      <w:jc w:val="both"/>
    </w:pPr>
    <w:rPr>
      <w:rFonts w:ascii="Verdana" w:hAnsi="Verdana"/>
      <w:caps/>
    </w:rPr>
  </w:style>
  <w:style w:type="paragraph" w:styleId="TOC2">
    <w:name w:val="toc 2"/>
    <w:basedOn w:val="Normal"/>
    <w:next w:val="Normal"/>
    <w:uiPriority w:val="39"/>
    <w:rsid w:val="001B7BF2"/>
    <w:pPr>
      <w:tabs>
        <w:tab w:val="right" w:leader="dot" w:pos="8640"/>
      </w:tabs>
      <w:spacing w:before="60" w:after="60"/>
      <w:ind w:left="1077" w:right="720" w:hanging="595"/>
      <w:jc w:val="both"/>
    </w:pPr>
    <w:rPr>
      <w:rFonts w:ascii="Verdana" w:hAnsi="Verdana"/>
      <w:sz w:val="18"/>
    </w:rPr>
  </w:style>
  <w:style w:type="paragraph" w:styleId="TOC3">
    <w:name w:val="toc 3"/>
    <w:basedOn w:val="Normal"/>
    <w:next w:val="Normal"/>
    <w:uiPriority w:val="39"/>
    <w:rsid w:val="001B7BF2"/>
    <w:pPr>
      <w:tabs>
        <w:tab w:val="right" w:leader="dot" w:pos="8640"/>
      </w:tabs>
      <w:spacing w:before="60" w:after="60"/>
      <w:ind w:left="1916" w:right="720" w:hanging="839"/>
      <w:jc w:val="both"/>
    </w:pPr>
    <w:rPr>
      <w:rFonts w:ascii="Verdana" w:hAnsi="Verdana"/>
      <w:sz w:val="16"/>
    </w:rPr>
  </w:style>
  <w:style w:type="paragraph" w:customStyle="1" w:styleId="ListDash3">
    <w:name w:val="List Dash 3"/>
    <w:basedOn w:val="Normal"/>
    <w:rsid w:val="00727B34"/>
    <w:pPr>
      <w:numPr>
        <w:numId w:val="1"/>
      </w:numPr>
      <w:spacing w:after="240"/>
      <w:jc w:val="both"/>
    </w:pPr>
  </w:style>
  <w:style w:type="paragraph" w:customStyle="1" w:styleId="ListNumber1">
    <w:name w:val="List Number 1"/>
    <w:basedOn w:val="Normal"/>
    <w:rsid w:val="00727B34"/>
    <w:pPr>
      <w:numPr>
        <w:numId w:val="2"/>
      </w:numPr>
      <w:spacing w:after="240"/>
      <w:jc w:val="both"/>
    </w:pPr>
  </w:style>
  <w:style w:type="paragraph" w:customStyle="1" w:styleId="ListNumber1Level2">
    <w:name w:val="List Number 1 (Level 2)"/>
    <w:basedOn w:val="Normal"/>
    <w:rsid w:val="00727B34"/>
    <w:pPr>
      <w:numPr>
        <w:ilvl w:val="1"/>
        <w:numId w:val="2"/>
      </w:numPr>
      <w:spacing w:after="240"/>
      <w:jc w:val="both"/>
    </w:pPr>
  </w:style>
  <w:style w:type="paragraph" w:customStyle="1" w:styleId="ListNumber1Level3">
    <w:name w:val="List Number 1 (Level 3)"/>
    <w:basedOn w:val="Normal"/>
    <w:rsid w:val="00727B34"/>
    <w:pPr>
      <w:numPr>
        <w:ilvl w:val="2"/>
        <w:numId w:val="2"/>
      </w:numPr>
      <w:spacing w:after="240"/>
      <w:jc w:val="both"/>
    </w:pPr>
  </w:style>
  <w:style w:type="paragraph" w:customStyle="1" w:styleId="ListNumber1Level4">
    <w:name w:val="List Number 1 (Level 4)"/>
    <w:basedOn w:val="Normal"/>
    <w:rsid w:val="00727B34"/>
    <w:pPr>
      <w:numPr>
        <w:ilvl w:val="3"/>
        <w:numId w:val="2"/>
      </w:numPr>
      <w:spacing w:after="240"/>
      <w:jc w:val="both"/>
    </w:pPr>
  </w:style>
  <w:style w:type="paragraph" w:customStyle="1" w:styleId="TOCHeading1">
    <w:name w:val="TOC Heading1"/>
    <w:basedOn w:val="Normal"/>
    <w:next w:val="Normal"/>
    <w:uiPriority w:val="39"/>
    <w:qFormat/>
    <w:rsid w:val="00727B34"/>
    <w:pPr>
      <w:keepNext/>
      <w:spacing w:before="240" w:after="240"/>
      <w:jc w:val="center"/>
    </w:pPr>
    <w:rPr>
      <w:b/>
    </w:rPr>
  </w:style>
  <w:style w:type="character" w:styleId="FootnoteReference">
    <w:name w:val="footnote reference"/>
    <w:uiPriority w:val="99"/>
    <w:rsid w:val="00727B34"/>
    <w:rPr>
      <w:vertAlign w:val="superscript"/>
    </w:rPr>
  </w:style>
  <w:style w:type="character" w:styleId="Hyperlink">
    <w:name w:val="Hyperlink"/>
    <w:uiPriority w:val="99"/>
    <w:rsid w:val="00727B34"/>
    <w:rPr>
      <w:color w:val="0000FF"/>
      <w:u w:val="single"/>
    </w:rPr>
  </w:style>
  <w:style w:type="table" w:styleId="TableGrid">
    <w:name w:val="Table Grid"/>
    <w:basedOn w:val="TableNormal"/>
    <w:rsid w:val="0072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27B34"/>
    <w:pPr>
      <w:tabs>
        <w:tab w:val="center" w:pos="4536"/>
        <w:tab w:val="right" w:pos="9072"/>
      </w:tabs>
    </w:pPr>
  </w:style>
  <w:style w:type="character" w:styleId="PageNumber">
    <w:name w:val="page number"/>
    <w:basedOn w:val="DefaultParagraphFont"/>
    <w:rsid w:val="00727B34"/>
  </w:style>
  <w:style w:type="character" w:styleId="FollowedHyperlink">
    <w:name w:val="FollowedHyperlink"/>
    <w:rsid w:val="00094440"/>
    <w:rPr>
      <w:color w:val="800080"/>
      <w:u w:val="single"/>
    </w:rPr>
  </w:style>
  <w:style w:type="paragraph" w:styleId="BalloonText">
    <w:name w:val="Balloon Text"/>
    <w:basedOn w:val="Normal"/>
    <w:semiHidden/>
    <w:rsid w:val="002909C0"/>
    <w:rPr>
      <w:rFonts w:ascii="Tahoma" w:hAnsi="Tahoma" w:cs="Tahoma"/>
      <w:sz w:val="16"/>
      <w:szCs w:val="16"/>
    </w:rPr>
  </w:style>
  <w:style w:type="paragraph" w:customStyle="1" w:styleId="Application5">
    <w:name w:val="Application5"/>
    <w:basedOn w:val="Normal"/>
    <w:autoRedefine/>
    <w:rsid w:val="00824541"/>
    <w:pPr>
      <w:numPr>
        <w:numId w:val="3"/>
      </w:numPr>
      <w:jc w:val="both"/>
    </w:pPr>
  </w:style>
  <w:style w:type="character" w:styleId="CommentReference">
    <w:name w:val="annotation reference"/>
    <w:semiHidden/>
    <w:rsid w:val="00D022BD"/>
    <w:rPr>
      <w:sz w:val="16"/>
      <w:szCs w:val="16"/>
    </w:rPr>
  </w:style>
  <w:style w:type="paragraph" w:styleId="CommentText">
    <w:name w:val="annotation text"/>
    <w:basedOn w:val="Normal"/>
    <w:semiHidden/>
    <w:rsid w:val="00D022BD"/>
  </w:style>
  <w:style w:type="paragraph" w:styleId="CommentSubject">
    <w:name w:val="annotation subject"/>
    <w:basedOn w:val="CommentText"/>
    <w:next w:val="CommentText"/>
    <w:semiHidden/>
    <w:rsid w:val="00D022BD"/>
    <w:rPr>
      <w:b/>
      <w:bCs/>
    </w:rPr>
  </w:style>
  <w:style w:type="paragraph" w:styleId="Header">
    <w:name w:val="header"/>
    <w:basedOn w:val="Normal"/>
    <w:rsid w:val="00E2627B"/>
    <w:pPr>
      <w:tabs>
        <w:tab w:val="center" w:pos="4536"/>
        <w:tab w:val="right" w:pos="9072"/>
      </w:tabs>
    </w:pPr>
  </w:style>
  <w:style w:type="paragraph" w:customStyle="1" w:styleId="Text4">
    <w:name w:val="Text 4"/>
    <w:basedOn w:val="Normal"/>
    <w:rsid w:val="002369B6"/>
    <w:pPr>
      <w:tabs>
        <w:tab w:val="left" w:pos="2302"/>
      </w:tabs>
      <w:spacing w:after="240"/>
      <w:ind w:left="1202"/>
      <w:jc w:val="both"/>
    </w:pPr>
  </w:style>
  <w:style w:type="paragraph" w:customStyle="1" w:styleId="Text2">
    <w:name w:val="Text 2"/>
    <w:basedOn w:val="Normal"/>
    <w:rsid w:val="002369B6"/>
    <w:pPr>
      <w:tabs>
        <w:tab w:val="left" w:pos="2161"/>
      </w:tabs>
      <w:spacing w:after="240"/>
      <w:ind w:left="1202"/>
      <w:jc w:val="both"/>
    </w:pPr>
  </w:style>
  <w:style w:type="paragraph" w:customStyle="1" w:styleId="Text1">
    <w:name w:val="Text 1"/>
    <w:basedOn w:val="Normal"/>
    <w:rsid w:val="001E17F2"/>
    <w:pPr>
      <w:spacing w:before="120" w:after="120"/>
      <w:ind w:left="850"/>
      <w:jc w:val="both"/>
    </w:pPr>
    <w:rPr>
      <w:lang w:eastAsia="de-DE"/>
    </w:rPr>
  </w:style>
  <w:style w:type="paragraph" w:customStyle="1" w:styleId="ListDash1">
    <w:name w:val="List Dash 1"/>
    <w:basedOn w:val="Normal"/>
    <w:rsid w:val="001E17F2"/>
    <w:pPr>
      <w:numPr>
        <w:numId w:val="4"/>
      </w:numPr>
      <w:spacing w:before="120" w:after="120"/>
      <w:jc w:val="both"/>
    </w:pPr>
    <w:rPr>
      <w:lang w:eastAsia="de-DE"/>
    </w:rPr>
  </w:style>
  <w:style w:type="character" w:styleId="Emphasis">
    <w:name w:val="Emphasis"/>
    <w:qFormat/>
    <w:rsid w:val="00ED4293"/>
    <w:rPr>
      <w:i/>
      <w:iCs/>
    </w:rPr>
  </w:style>
  <w:style w:type="paragraph" w:styleId="NormalWeb">
    <w:name w:val="Normal (Web)"/>
    <w:basedOn w:val="Normal"/>
    <w:uiPriority w:val="99"/>
    <w:rsid w:val="00FD4297"/>
    <w:pPr>
      <w:spacing w:before="100" w:beforeAutospacing="1" w:after="100" w:afterAutospacing="1"/>
    </w:pPr>
  </w:style>
  <w:style w:type="character" w:customStyle="1" w:styleId="searchhit">
    <w:name w:val="search_hit"/>
    <w:basedOn w:val="DefaultParagraphFont"/>
    <w:rsid w:val="00FD4297"/>
  </w:style>
  <w:style w:type="paragraph" w:customStyle="1" w:styleId="Default">
    <w:name w:val="Default"/>
    <w:rsid w:val="00F84A2D"/>
    <w:pPr>
      <w:autoSpaceDE w:val="0"/>
      <w:autoSpaceDN w:val="0"/>
      <w:adjustRightInd w:val="0"/>
    </w:pPr>
    <w:rPr>
      <w:color w:val="000000"/>
      <w:sz w:val="24"/>
      <w:szCs w:val="24"/>
      <w:lang w:eastAsia="en-US"/>
    </w:rPr>
  </w:style>
  <w:style w:type="paragraph" w:customStyle="1" w:styleId="Text3">
    <w:name w:val="Text 3"/>
    <w:basedOn w:val="Normal"/>
    <w:rsid w:val="001233D7"/>
    <w:pPr>
      <w:spacing w:before="120" w:after="120"/>
      <w:ind w:left="850"/>
      <w:jc w:val="both"/>
    </w:pPr>
    <w:rPr>
      <w:lang w:eastAsia="de-DE"/>
    </w:rPr>
  </w:style>
  <w:style w:type="paragraph" w:customStyle="1" w:styleId="Titreobjet">
    <w:name w:val="Titre objet"/>
    <w:basedOn w:val="Normal"/>
    <w:next w:val="Normal"/>
    <w:rsid w:val="00D26203"/>
    <w:pPr>
      <w:spacing w:before="360" w:after="360"/>
      <w:jc w:val="center"/>
    </w:pPr>
    <w:rPr>
      <w:b/>
      <w:lang w:eastAsia="de-DE"/>
    </w:rPr>
  </w:style>
  <w:style w:type="paragraph" w:customStyle="1" w:styleId="Typedudocument">
    <w:name w:val="Type du document"/>
    <w:basedOn w:val="Normal"/>
    <w:next w:val="Normal"/>
    <w:rsid w:val="00D26203"/>
    <w:pPr>
      <w:spacing w:before="360"/>
      <w:jc w:val="center"/>
    </w:pPr>
    <w:rPr>
      <w:b/>
      <w:lang w:eastAsia="de-DE"/>
    </w:rPr>
  </w:style>
  <w:style w:type="paragraph" w:styleId="ListNumber">
    <w:name w:val="List Number"/>
    <w:basedOn w:val="Normal"/>
    <w:rsid w:val="001C3019"/>
    <w:pPr>
      <w:numPr>
        <w:numId w:val="5"/>
      </w:numPr>
      <w:spacing w:after="240"/>
      <w:jc w:val="both"/>
    </w:pPr>
    <w:rPr>
      <w:lang w:val="fr-FR"/>
    </w:rPr>
  </w:style>
  <w:style w:type="paragraph" w:customStyle="1" w:styleId="ListNumberLevel2">
    <w:name w:val="List Number (Level 2)"/>
    <w:basedOn w:val="Normal"/>
    <w:rsid w:val="001C3019"/>
    <w:pPr>
      <w:numPr>
        <w:ilvl w:val="1"/>
        <w:numId w:val="5"/>
      </w:numPr>
      <w:spacing w:after="240"/>
      <w:jc w:val="both"/>
    </w:pPr>
    <w:rPr>
      <w:lang w:val="fr-FR"/>
    </w:rPr>
  </w:style>
  <w:style w:type="paragraph" w:customStyle="1" w:styleId="ListNumberLevel3">
    <w:name w:val="List Number (Level 3)"/>
    <w:basedOn w:val="Normal"/>
    <w:rsid w:val="001C3019"/>
    <w:pPr>
      <w:numPr>
        <w:ilvl w:val="2"/>
        <w:numId w:val="5"/>
      </w:numPr>
      <w:spacing w:after="240"/>
      <w:jc w:val="both"/>
    </w:pPr>
    <w:rPr>
      <w:lang w:val="fr-FR"/>
    </w:rPr>
  </w:style>
  <w:style w:type="paragraph" w:customStyle="1" w:styleId="ListNumberLevel4">
    <w:name w:val="List Number (Level 4)"/>
    <w:basedOn w:val="Normal"/>
    <w:rsid w:val="001C3019"/>
    <w:pPr>
      <w:numPr>
        <w:ilvl w:val="3"/>
        <w:numId w:val="5"/>
      </w:numPr>
      <w:spacing w:after="240"/>
      <w:jc w:val="both"/>
    </w:pPr>
    <w:rPr>
      <w:lang w:val="fr-FR"/>
    </w:rPr>
  </w:style>
  <w:style w:type="paragraph" w:customStyle="1" w:styleId="ColorfulShading-Accent11">
    <w:name w:val="Colorful Shading - Accent 11"/>
    <w:hidden/>
    <w:uiPriority w:val="99"/>
    <w:semiHidden/>
    <w:rsid w:val="00384715"/>
    <w:rPr>
      <w:sz w:val="24"/>
      <w:szCs w:val="24"/>
      <w:lang w:eastAsia="en-US"/>
    </w:rPr>
  </w:style>
  <w:style w:type="paragraph" w:customStyle="1" w:styleId="CM1">
    <w:name w:val="CM1"/>
    <w:basedOn w:val="Default"/>
    <w:next w:val="Default"/>
    <w:uiPriority w:val="99"/>
    <w:rsid w:val="006749E4"/>
    <w:rPr>
      <w:rFonts w:ascii="EUAlbertina" w:hAnsi="EUAlbertina"/>
      <w:color w:val="auto"/>
    </w:rPr>
  </w:style>
  <w:style w:type="paragraph" w:customStyle="1" w:styleId="CM3">
    <w:name w:val="CM3"/>
    <w:basedOn w:val="Default"/>
    <w:next w:val="Default"/>
    <w:uiPriority w:val="99"/>
    <w:rsid w:val="006749E4"/>
    <w:rPr>
      <w:rFonts w:ascii="EUAlbertina" w:hAnsi="EUAlbertina"/>
      <w:color w:val="auto"/>
    </w:rPr>
  </w:style>
  <w:style w:type="paragraph" w:customStyle="1" w:styleId="ColorfulList-Accent11">
    <w:name w:val="Colorful List - Accent 11"/>
    <w:basedOn w:val="Normal"/>
    <w:uiPriority w:val="34"/>
    <w:qFormat/>
    <w:rsid w:val="007B0099"/>
    <w:pPr>
      <w:ind w:left="720"/>
      <w:contextualSpacing/>
    </w:pPr>
  </w:style>
  <w:style w:type="character" w:customStyle="1" w:styleId="Heading5Char">
    <w:name w:val="Heading 5 Char"/>
    <w:link w:val="Heading5"/>
    <w:rsid w:val="00165F58"/>
    <w:rPr>
      <w:rFonts w:ascii="Cambria" w:hAnsi="Cambria"/>
      <w:color w:val="243F60"/>
      <w:sz w:val="24"/>
      <w:szCs w:val="24"/>
      <w:lang w:eastAsia="en-US"/>
    </w:rPr>
  </w:style>
  <w:style w:type="character" w:customStyle="1" w:styleId="Heading6Char">
    <w:name w:val="Heading 6 Char"/>
    <w:link w:val="Heading6"/>
    <w:rsid w:val="00165F58"/>
    <w:rPr>
      <w:rFonts w:ascii="Cambria" w:hAnsi="Cambria"/>
      <w:i/>
      <w:iCs/>
      <w:color w:val="243F60"/>
      <w:sz w:val="24"/>
      <w:szCs w:val="24"/>
      <w:lang w:eastAsia="en-US"/>
    </w:rPr>
  </w:style>
  <w:style w:type="character" w:customStyle="1" w:styleId="Heading7Char">
    <w:name w:val="Heading 7 Char"/>
    <w:link w:val="Heading7"/>
    <w:rsid w:val="00165F58"/>
    <w:rPr>
      <w:rFonts w:ascii="Cambria" w:hAnsi="Cambria"/>
      <w:i/>
      <w:iCs/>
      <w:color w:val="404040"/>
      <w:sz w:val="24"/>
      <w:szCs w:val="24"/>
      <w:lang w:eastAsia="en-US"/>
    </w:rPr>
  </w:style>
  <w:style w:type="character" w:customStyle="1" w:styleId="Heading8Char">
    <w:name w:val="Heading 8 Char"/>
    <w:link w:val="Heading8"/>
    <w:rsid w:val="00165F58"/>
    <w:rPr>
      <w:rFonts w:ascii="Cambria" w:hAnsi="Cambria"/>
      <w:color w:val="404040"/>
      <w:lang w:eastAsia="en-US"/>
    </w:rPr>
  </w:style>
  <w:style w:type="character" w:customStyle="1" w:styleId="Heading9Char">
    <w:name w:val="Heading 9 Char"/>
    <w:link w:val="Heading9"/>
    <w:rsid w:val="00165F58"/>
    <w:rPr>
      <w:rFonts w:ascii="Cambria" w:hAnsi="Cambria"/>
      <w:i/>
      <w:iCs/>
      <w:color w:val="404040"/>
      <w:lang w:eastAsia="en-US"/>
    </w:rPr>
  </w:style>
  <w:style w:type="character" w:customStyle="1" w:styleId="FootnoteTextChar">
    <w:name w:val="Footnote Text Char"/>
    <w:uiPriority w:val="99"/>
    <w:locked/>
    <w:rsid w:val="00C87BE2"/>
    <w:rPr>
      <w:lang w:eastAsia="en-US"/>
    </w:rPr>
  </w:style>
  <w:style w:type="character" w:customStyle="1" w:styleId="Heading1Char">
    <w:name w:val="Heading 1 Char"/>
    <w:rsid w:val="008A6768"/>
    <w:rPr>
      <w:rFonts w:ascii="Verdana" w:hAnsi="Verdana"/>
      <w:b/>
      <w:smallCaps/>
      <w:shd w:val="clear" w:color="auto" w:fill="EEECE1"/>
    </w:rPr>
  </w:style>
  <w:style w:type="paragraph" w:styleId="Index1">
    <w:name w:val="index 1"/>
    <w:basedOn w:val="Normal"/>
    <w:next w:val="Normal"/>
    <w:autoRedefine/>
    <w:rsid w:val="009C5EB9"/>
    <w:pPr>
      <w:ind w:left="240" w:hanging="240"/>
    </w:pPr>
  </w:style>
  <w:style w:type="paragraph" w:customStyle="1" w:styleId="Footnote">
    <w:name w:val="Footnote"/>
    <w:basedOn w:val="FootnoteText"/>
    <w:qFormat/>
    <w:rsid w:val="00B16F77"/>
    <w:pPr>
      <w:tabs>
        <w:tab w:val="left" w:pos="284"/>
      </w:tabs>
      <w:spacing w:after="0"/>
      <w:ind w:left="284" w:hanging="284"/>
    </w:pPr>
    <w:rPr>
      <w:rFonts w:ascii="Verdana" w:hAnsi="Verdana"/>
      <w:sz w:val="16"/>
      <w:szCs w:val="16"/>
    </w:rPr>
  </w:style>
  <w:style w:type="table" w:styleId="TableClassic3">
    <w:name w:val="Table Classic 3"/>
    <w:basedOn w:val="TableNormal"/>
    <w:unhideWhenUsed/>
    <w:rsid w:val="009A44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
    <w:name w:val="Body Text"/>
    <w:basedOn w:val="Normal"/>
    <w:link w:val="BodyTextChar"/>
    <w:rsid w:val="00CF5226"/>
    <w:pPr>
      <w:spacing w:before="120" w:after="120"/>
      <w:jc w:val="both"/>
    </w:pPr>
    <w:rPr>
      <w:rFonts w:ascii="Arial" w:hAnsi="Arial"/>
    </w:rPr>
  </w:style>
  <w:style w:type="character" w:customStyle="1" w:styleId="BodyTextChar">
    <w:name w:val="Body Text Char"/>
    <w:link w:val="BodyText"/>
    <w:rsid w:val="00CF5226"/>
    <w:rPr>
      <w:rFonts w:ascii="Arial" w:hAnsi="Arial"/>
      <w:sz w:val="24"/>
      <w:szCs w:val="24"/>
      <w:lang w:eastAsia="en-GB"/>
    </w:rPr>
  </w:style>
  <w:style w:type="character" w:customStyle="1" w:styleId="Heading1Char1">
    <w:name w:val="Heading 1 Char1"/>
    <w:rsid w:val="00187844"/>
    <w:rPr>
      <w:rFonts w:ascii="Verdana" w:eastAsia="Times New Roman" w:hAnsi="Verdana" w:cs="Times New Roman"/>
      <w:b/>
      <w:bCs/>
      <w:sz w:val="24"/>
      <w:szCs w:val="24"/>
      <w:shd w:val="clear" w:color="auto" w:fill="F2F2F2"/>
    </w:rPr>
  </w:style>
  <w:style w:type="character" w:customStyle="1" w:styleId="Heading1Char2">
    <w:name w:val="Heading 1 Char2"/>
    <w:link w:val="Heading1"/>
    <w:rsid w:val="00F877AC"/>
    <w:rPr>
      <w:b/>
      <w:bCs/>
      <w:smallCaps/>
      <w:noProof/>
      <w:sz w:val="24"/>
      <w:szCs w:val="24"/>
      <w:lang w:val="en-US" w:eastAsia="en-US"/>
    </w:rPr>
  </w:style>
  <w:style w:type="paragraph" w:customStyle="1" w:styleId="footnote0">
    <w:name w:val="footnote"/>
    <w:basedOn w:val="Normal"/>
    <w:qFormat/>
    <w:rsid w:val="00520FCB"/>
    <w:pPr>
      <w:tabs>
        <w:tab w:val="left" w:pos="284"/>
      </w:tabs>
      <w:ind w:left="284" w:hanging="284"/>
      <w:jc w:val="both"/>
    </w:pPr>
    <w:rPr>
      <w:rFonts w:ascii="Verdana" w:hAnsi="Verdana"/>
      <w:sz w:val="16"/>
    </w:rPr>
  </w:style>
  <w:style w:type="paragraph" w:styleId="PlainText">
    <w:name w:val="Plain Text"/>
    <w:basedOn w:val="Normal"/>
    <w:link w:val="PlainTextChar"/>
    <w:uiPriority w:val="99"/>
    <w:unhideWhenUsed/>
    <w:rsid w:val="00DA1BD4"/>
    <w:rPr>
      <w:rFonts w:ascii="Calibri" w:eastAsia="Calibri" w:hAnsi="Calibri" w:cs="Calibri"/>
      <w:sz w:val="22"/>
      <w:szCs w:val="22"/>
    </w:rPr>
  </w:style>
  <w:style w:type="character" w:customStyle="1" w:styleId="PlainTextChar">
    <w:name w:val="Plain Text Char"/>
    <w:link w:val="PlainText"/>
    <w:uiPriority w:val="99"/>
    <w:rsid w:val="00DA1BD4"/>
    <w:rPr>
      <w:rFonts w:ascii="Calibri" w:eastAsia="Calibri" w:hAnsi="Calibri" w:cs="Calibri"/>
      <w:sz w:val="22"/>
      <w:szCs w:val="22"/>
      <w:lang w:eastAsia="en-US"/>
    </w:rPr>
  </w:style>
  <w:style w:type="character" w:customStyle="1" w:styleId="Heading2Char">
    <w:name w:val="Heading 2 Char"/>
    <w:link w:val="Heading2"/>
    <w:rsid w:val="00DA0516"/>
    <w:rPr>
      <w:b/>
      <w:bCs/>
      <w:iCs/>
      <w:noProof/>
      <w:sz w:val="24"/>
      <w:szCs w:val="24"/>
      <w:lang w:val="en-US"/>
    </w:rPr>
  </w:style>
  <w:style w:type="character" w:styleId="Strong">
    <w:name w:val="Strong"/>
    <w:uiPriority w:val="22"/>
    <w:qFormat/>
    <w:rsid w:val="00CC062A"/>
    <w:rPr>
      <w:b/>
      <w:bCs/>
    </w:rPr>
  </w:style>
  <w:style w:type="character" w:customStyle="1" w:styleId="DeltaViewInsertion">
    <w:name w:val="DeltaView Insertion"/>
    <w:uiPriority w:val="99"/>
    <w:rsid w:val="00B46ABE"/>
    <w:rPr>
      <w:b/>
      <w:bCs/>
      <w:i/>
      <w:iCs/>
      <w:color w:val="000000"/>
    </w:rPr>
  </w:style>
  <w:style w:type="paragraph" w:customStyle="1" w:styleId="Tiret1">
    <w:name w:val="Tiret 1"/>
    <w:basedOn w:val="Normal"/>
    <w:rsid w:val="005C77E9"/>
    <w:pPr>
      <w:numPr>
        <w:numId w:val="8"/>
      </w:numPr>
      <w:spacing w:before="120" w:after="120"/>
      <w:jc w:val="both"/>
    </w:pPr>
  </w:style>
  <w:style w:type="paragraph" w:customStyle="1" w:styleId="Bullet1">
    <w:name w:val="Bullet 1"/>
    <w:basedOn w:val="Normal"/>
    <w:rsid w:val="00561C01"/>
    <w:pPr>
      <w:numPr>
        <w:numId w:val="10"/>
      </w:numPr>
      <w:spacing w:before="120" w:after="120"/>
      <w:jc w:val="both"/>
    </w:pPr>
  </w:style>
  <w:style w:type="paragraph" w:styleId="ListParagraph">
    <w:name w:val="List Paragraph"/>
    <w:basedOn w:val="Normal"/>
    <w:uiPriority w:val="34"/>
    <w:qFormat/>
    <w:rsid w:val="009B0351"/>
    <w:pPr>
      <w:ind w:left="720"/>
      <w:contextualSpacing/>
    </w:pPr>
  </w:style>
  <w:style w:type="paragraph" w:styleId="Revision">
    <w:name w:val="Revision"/>
    <w:hidden/>
    <w:uiPriority w:val="99"/>
    <w:semiHidden/>
    <w:rsid w:val="00B60082"/>
    <w:rPr>
      <w:sz w:val="24"/>
      <w:szCs w:val="24"/>
      <w:lang w:eastAsia="en-US"/>
    </w:rPr>
  </w:style>
  <w:style w:type="paragraph" w:customStyle="1" w:styleId="ListDash">
    <w:name w:val="List Dash"/>
    <w:basedOn w:val="Normal"/>
    <w:rsid w:val="00AE2DC0"/>
    <w:pPr>
      <w:numPr>
        <w:numId w:val="14"/>
      </w:numPr>
      <w:spacing w:after="240"/>
      <w:ind w:right="720"/>
      <w:jc w:val="both"/>
    </w:pPr>
    <w:rPr>
      <w:lang w:val="fr-FR"/>
    </w:rPr>
  </w:style>
  <w:style w:type="numbering" w:customStyle="1" w:styleId="Style1">
    <w:name w:val="Style1"/>
    <w:uiPriority w:val="99"/>
    <w:rsid w:val="00C65A8D"/>
    <w:pPr>
      <w:numPr>
        <w:numId w:val="18"/>
      </w:numPr>
    </w:pPr>
  </w:style>
  <w:style w:type="character" w:customStyle="1" w:styleId="FooterChar">
    <w:name w:val="Footer Char"/>
    <w:basedOn w:val="DefaultParagraphFont"/>
    <w:link w:val="Footer"/>
    <w:uiPriority w:val="99"/>
    <w:rsid w:val="00E91A62"/>
    <w:rPr>
      <w:sz w:val="24"/>
      <w:szCs w:val="24"/>
      <w:lang w:eastAsia="en-US"/>
    </w:rPr>
  </w:style>
  <w:style w:type="table" w:customStyle="1" w:styleId="TableGrid1">
    <w:name w:val="Table Grid1"/>
    <w:basedOn w:val="TableNormal"/>
    <w:next w:val="TableGrid"/>
    <w:uiPriority w:val="59"/>
    <w:rsid w:val="00A9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502">
      <w:bodyDiv w:val="1"/>
      <w:marLeft w:val="0"/>
      <w:marRight w:val="0"/>
      <w:marTop w:val="0"/>
      <w:marBottom w:val="0"/>
      <w:divBdr>
        <w:top w:val="none" w:sz="0" w:space="0" w:color="auto"/>
        <w:left w:val="none" w:sz="0" w:space="0" w:color="auto"/>
        <w:bottom w:val="none" w:sz="0" w:space="0" w:color="auto"/>
        <w:right w:val="none" w:sz="0" w:space="0" w:color="auto"/>
      </w:divBdr>
    </w:div>
    <w:div w:id="136265017">
      <w:bodyDiv w:val="1"/>
      <w:marLeft w:val="0"/>
      <w:marRight w:val="0"/>
      <w:marTop w:val="0"/>
      <w:marBottom w:val="0"/>
      <w:divBdr>
        <w:top w:val="none" w:sz="0" w:space="0" w:color="auto"/>
        <w:left w:val="none" w:sz="0" w:space="0" w:color="auto"/>
        <w:bottom w:val="none" w:sz="0" w:space="0" w:color="auto"/>
        <w:right w:val="none" w:sz="0" w:space="0" w:color="auto"/>
      </w:divBdr>
    </w:div>
    <w:div w:id="294795970">
      <w:bodyDiv w:val="1"/>
      <w:marLeft w:val="0"/>
      <w:marRight w:val="0"/>
      <w:marTop w:val="0"/>
      <w:marBottom w:val="0"/>
      <w:divBdr>
        <w:top w:val="none" w:sz="0" w:space="0" w:color="auto"/>
        <w:left w:val="none" w:sz="0" w:space="0" w:color="auto"/>
        <w:bottom w:val="none" w:sz="0" w:space="0" w:color="auto"/>
        <w:right w:val="none" w:sz="0" w:space="0" w:color="auto"/>
      </w:divBdr>
      <w:divsChild>
        <w:div w:id="26101679">
          <w:marLeft w:val="0"/>
          <w:marRight w:val="0"/>
          <w:marTop w:val="0"/>
          <w:marBottom w:val="0"/>
          <w:divBdr>
            <w:top w:val="none" w:sz="0" w:space="0" w:color="auto"/>
            <w:left w:val="none" w:sz="0" w:space="0" w:color="auto"/>
            <w:bottom w:val="none" w:sz="0" w:space="0" w:color="auto"/>
            <w:right w:val="none" w:sz="0" w:space="0" w:color="auto"/>
          </w:divBdr>
          <w:divsChild>
            <w:div w:id="1167596041">
              <w:marLeft w:val="0"/>
              <w:marRight w:val="0"/>
              <w:marTop w:val="0"/>
              <w:marBottom w:val="0"/>
              <w:divBdr>
                <w:top w:val="none" w:sz="0" w:space="0" w:color="auto"/>
                <w:left w:val="none" w:sz="0" w:space="0" w:color="auto"/>
                <w:bottom w:val="none" w:sz="0" w:space="0" w:color="auto"/>
                <w:right w:val="none" w:sz="0" w:space="0" w:color="auto"/>
              </w:divBdr>
              <w:divsChild>
                <w:div w:id="1591960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07657">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4">
          <w:marLeft w:val="0"/>
          <w:marRight w:val="0"/>
          <w:marTop w:val="0"/>
          <w:marBottom w:val="0"/>
          <w:divBdr>
            <w:top w:val="none" w:sz="0" w:space="0" w:color="auto"/>
            <w:left w:val="none" w:sz="0" w:space="0" w:color="auto"/>
            <w:bottom w:val="none" w:sz="0" w:space="0" w:color="auto"/>
            <w:right w:val="none" w:sz="0" w:space="0" w:color="auto"/>
          </w:divBdr>
          <w:divsChild>
            <w:div w:id="887107970">
              <w:marLeft w:val="0"/>
              <w:marRight w:val="0"/>
              <w:marTop w:val="0"/>
              <w:marBottom w:val="0"/>
              <w:divBdr>
                <w:top w:val="none" w:sz="0" w:space="0" w:color="auto"/>
                <w:left w:val="none" w:sz="0" w:space="0" w:color="auto"/>
                <w:bottom w:val="none" w:sz="0" w:space="0" w:color="auto"/>
                <w:right w:val="none" w:sz="0" w:space="0" w:color="auto"/>
              </w:divBdr>
              <w:divsChild>
                <w:div w:id="418185928">
                  <w:marLeft w:val="0"/>
                  <w:marRight w:val="0"/>
                  <w:marTop w:val="0"/>
                  <w:marBottom w:val="0"/>
                  <w:divBdr>
                    <w:top w:val="none" w:sz="0" w:space="0" w:color="auto"/>
                    <w:left w:val="none" w:sz="0" w:space="0" w:color="auto"/>
                    <w:bottom w:val="none" w:sz="0" w:space="0" w:color="auto"/>
                    <w:right w:val="none" w:sz="0" w:space="0" w:color="auto"/>
                  </w:divBdr>
                  <w:divsChild>
                    <w:div w:id="150820478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490148086">
      <w:bodyDiv w:val="1"/>
      <w:marLeft w:val="0"/>
      <w:marRight w:val="0"/>
      <w:marTop w:val="0"/>
      <w:marBottom w:val="0"/>
      <w:divBdr>
        <w:top w:val="none" w:sz="0" w:space="0" w:color="auto"/>
        <w:left w:val="none" w:sz="0" w:space="0" w:color="auto"/>
        <w:bottom w:val="none" w:sz="0" w:space="0" w:color="auto"/>
        <w:right w:val="none" w:sz="0" w:space="0" w:color="auto"/>
      </w:divBdr>
    </w:div>
    <w:div w:id="536895361">
      <w:bodyDiv w:val="1"/>
      <w:marLeft w:val="0"/>
      <w:marRight w:val="0"/>
      <w:marTop w:val="0"/>
      <w:marBottom w:val="0"/>
      <w:divBdr>
        <w:top w:val="none" w:sz="0" w:space="0" w:color="auto"/>
        <w:left w:val="none" w:sz="0" w:space="0" w:color="auto"/>
        <w:bottom w:val="none" w:sz="0" w:space="0" w:color="auto"/>
        <w:right w:val="none" w:sz="0" w:space="0" w:color="auto"/>
      </w:divBdr>
    </w:div>
    <w:div w:id="667633764">
      <w:bodyDiv w:val="1"/>
      <w:marLeft w:val="390"/>
      <w:marRight w:val="390"/>
      <w:marTop w:val="0"/>
      <w:marBottom w:val="0"/>
      <w:divBdr>
        <w:top w:val="none" w:sz="0" w:space="0" w:color="auto"/>
        <w:left w:val="none" w:sz="0" w:space="0" w:color="auto"/>
        <w:bottom w:val="none" w:sz="0" w:space="0" w:color="auto"/>
        <w:right w:val="none" w:sz="0" w:space="0" w:color="auto"/>
      </w:divBdr>
    </w:div>
    <w:div w:id="982468764">
      <w:bodyDiv w:val="1"/>
      <w:marLeft w:val="0"/>
      <w:marRight w:val="0"/>
      <w:marTop w:val="0"/>
      <w:marBottom w:val="0"/>
      <w:divBdr>
        <w:top w:val="none" w:sz="0" w:space="0" w:color="auto"/>
        <w:left w:val="none" w:sz="0" w:space="0" w:color="auto"/>
        <w:bottom w:val="none" w:sz="0" w:space="0" w:color="auto"/>
        <w:right w:val="none" w:sz="0" w:space="0" w:color="auto"/>
      </w:divBdr>
    </w:div>
    <w:div w:id="1071998551">
      <w:bodyDiv w:val="1"/>
      <w:marLeft w:val="0"/>
      <w:marRight w:val="0"/>
      <w:marTop w:val="0"/>
      <w:marBottom w:val="0"/>
      <w:divBdr>
        <w:top w:val="none" w:sz="0" w:space="0" w:color="auto"/>
        <w:left w:val="none" w:sz="0" w:space="0" w:color="auto"/>
        <w:bottom w:val="none" w:sz="0" w:space="0" w:color="auto"/>
        <w:right w:val="none" w:sz="0" w:space="0" w:color="auto"/>
      </w:divBdr>
    </w:div>
    <w:div w:id="1118066474">
      <w:bodyDiv w:val="1"/>
      <w:marLeft w:val="0"/>
      <w:marRight w:val="0"/>
      <w:marTop w:val="0"/>
      <w:marBottom w:val="0"/>
      <w:divBdr>
        <w:top w:val="none" w:sz="0" w:space="0" w:color="auto"/>
        <w:left w:val="none" w:sz="0" w:space="0" w:color="auto"/>
        <w:bottom w:val="none" w:sz="0" w:space="0" w:color="auto"/>
        <w:right w:val="none" w:sz="0" w:space="0" w:color="auto"/>
      </w:divBdr>
    </w:div>
    <w:div w:id="1482886489">
      <w:bodyDiv w:val="1"/>
      <w:marLeft w:val="0"/>
      <w:marRight w:val="0"/>
      <w:marTop w:val="0"/>
      <w:marBottom w:val="0"/>
      <w:divBdr>
        <w:top w:val="none" w:sz="0" w:space="0" w:color="auto"/>
        <w:left w:val="none" w:sz="0" w:space="0" w:color="auto"/>
        <w:bottom w:val="none" w:sz="0" w:space="0" w:color="auto"/>
        <w:right w:val="none" w:sz="0" w:space="0" w:color="auto"/>
      </w:divBdr>
    </w:div>
    <w:div w:id="1550993765">
      <w:bodyDiv w:val="1"/>
      <w:marLeft w:val="0"/>
      <w:marRight w:val="0"/>
      <w:marTop w:val="0"/>
      <w:marBottom w:val="0"/>
      <w:divBdr>
        <w:top w:val="none" w:sz="0" w:space="0" w:color="auto"/>
        <w:left w:val="none" w:sz="0" w:space="0" w:color="auto"/>
        <w:bottom w:val="none" w:sz="0" w:space="0" w:color="auto"/>
        <w:right w:val="none" w:sz="0" w:space="0" w:color="auto"/>
      </w:divBdr>
    </w:div>
    <w:div w:id="19366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udsman.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anti_fraud/about-us/data-protection/processing-operations/not_subject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ataprotectionofficer/privacystatement_publicprocurement_en.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anti_fraud/about-us/funding/index_en.htm" TargetMode="External"/><Relationship Id="rId4" Type="http://schemas.microsoft.com/office/2007/relationships/stylesWithEffects" Target="stylesWithEffects.xml"/><Relationship Id="rId9" Type="http://schemas.openxmlformats.org/officeDocument/2006/relationships/hyperlink" Target="http://ec.europa.eu/anti-fraud/policy/hercule_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dps.europa.eu" TargetMode="External"/><Relationship Id="rId3" Type="http://schemas.openxmlformats.org/officeDocument/2006/relationships/hyperlink" Target="http://ec.europa.eu/research/participants/portal/desktop/en/home.html" TargetMode="External"/><Relationship Id="rId7" Type="http://schemas.openxmlformats.org/officeDocument/2006/relationships/hyperlink" Target="mailto:OLAF-FMB-DPO@ec.europa.eu" TargetMode="External"/><Relationship Id="rId2" Type="http://schemas.openxmlformats.org/officeDocument/2006/relationships/hyperlink" Target="https://digit-efp-ppe.cc.cec.eu.int/acc/research/participants/portal/desktop/en/opportunities/herc/index.html" TargetMode="External"/><Relationship Id="rId1" Type="http://schemas.openxmlformats.org/officeDocument/2006/relationships/hyperlink" Target="http://ec.europa.eu/anti_fraud/policy/hercule/index_en.htm" TargetMode="External"/><Relationship Id="rId6" Type="http://schemas.openxmlformats.org/officeDocument/2006/relationships/hyperlink" Target="http://ec.europa.eu/budget/fts/index_en.htm" TargetMode="External"/><Relationship Id="rId5" Type="http://schemas.openxmlformats.org/officeDocument/2006/relationships/hyperlink" Target="http://ec.europa.eu/contracts_grants/beneficiaries_en.htm" TargetMode="External"/><Relationship Id="rId10" Type="http://schemas.openxmlformats.org/officeDocument/2006/relationships/hyperlink" Target="https://digit-efp-ppe.cc.cec.eu.int/acc/research/participants/portal/desktop/en/opportunities/herc/index.html" TargetMode="External"/><Relationship Id="rId4" Type="http://schemas.openxmlformats.org/officeDocument/2006/relationships/hyperlink" Target="http://ec.europa.eu/research/participants/portal/desktop/en/opportunities/herc/index.html" TargetMode="External"/><Relationship Id="rId9" Type="http://schemas.openxmlformats.org/officeDocument/2006/relationships/hyperlink" Target="https://ec.europa.eu/anti-fraud/policy/hercul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EA0E-D463-43AD-A60A-5886C933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5950</Words>
  <Characters>35160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Hercule III programme - Call for proposals 2017 - Law training and studies</vt:lpstr>
    </vt:vector>
  </TitlesOfParts>
  <Company>CEC</Company>
  <LinksUpToDate>false</LinksUpToDate>
  <CharactersWithSpaces>41028</CharactersWithSpaces>
  <SharedDoc>false</SharedDoc>
  <HLinks>
    <vt:vector size="126" baseType="variant">
      <vt:variant>
        <vt:i4>1704062</vt:i4>
      </vt:variant>
      <vt:variant>
        <vt:i4>156</vt:i4>
      </vt:variant>
      <vt:variant>
        <vt:i4>0</vt:i4>
      </vt:variant>
      <vt:variant>
        <vt:i4>5</vt:i4>
      </vt:variant>
      <vt:variant>
        <vt:lpwstr>http://ec.europa.eu/anti_fraud/about-us/funding/training/index_en.htm</vt:lpwstr>
      </vt:variant>
      <vt:variant>
        <vt:lpwstr/>
      </vt:variant>
      <vt:variant>
        <vt:i4>1704062</vt:i4>
      </vt:variant>
      <vt:variant>
        <vt:i4>153</vt:i4>
      </vt:variant>
      <vt:variant>
        <vt:i4>0</vt:i4>
      </vt:variant>
      <vt:variant>
        <vt:i4>5</vt:i4>
      </vt:variant>
      <vt:variant>
        <vt:lpwstr>http://ec.europa.eu/anti_fraud/about-us/funding/training/index_en.htm</vt:lpwstr>
      </vt:variant>
      <vt:variant>
        <vt:lpwstr/>
      </vt:variant>
      <vt:variant>
        <vt:i4>8192106</vt:i4>
      </vt:variant>
      <vt:variant>
        <vt:i4>150</vt:i4>
      </vt:variant>
      <vt:variant>
        <vt:i4>0</vt:i4>
      </vt:variant>
      <vt:variant>
        <vt:i4>5</vt:i4>
      </vt:variant>
      <vt:variant>
        <vt:lpwstr>http://www.ombudsman.europa.eu</vt:lpwstr>
      </vt:variant>
      <vt:variant>
        <vt:lpwstr/>
      </vt:variant>
      <vt:variant>
        <vt:i4>4718669</vt:i4>
      </vt:variant>
      <vt:variant>
        <vt:i4>147</vt:i4>
      </vt:variant>
      <vt:variant>
        <vt:i4>0</vt:i4>
      </vt:variant>
      <vt:variant>
        <vt:i4>5</vt:i4>
      </vt:variant>
      <vt:variant>
        <vt:lpwstr>http://ec.europa.eu/budget/explained/management/protecting/protect_en.cfm</vt:lpwstr>
      </vt:variant>
      <vt:variant>
        <vt:lpwstr>BDCE</vt:lpwstr>
      </vt:variant>
      <vt:variant>
        <vt:i4>4718667</vt:i4>
      </vt:variant>
      <vt:variant>
        <vt:i4>144</vt:i4>
      </vt:variant>
      <vt:variant>
        <vt:i4>0</vt:i4>
      </vt:variant>
      <vt:variant>
        <vt:i4>5</vt:i4>
      </vt:variant>
      <vt:variant>
        <vt:lpwstr>http://ec.europa.eu/budget/contracts_grants/info_contracts/legal_entities/legal_entities_en.cfm</vt:lpwstr>
      </vt:variant>
      <vt:variant>
        <vt:lpwstr/>
      </vt:variant>
      <vt:variant>
        <vt:i4>786471</vt:i4>
      </vt:variant>
      <vt:variant>
        <vt:i4>141</vt:i4>
      </vt:variant>
      <vt:variant>
        <vt:i4>0</vt:i4>
      </vt:variant>
      <vt:variant>
        <vt:i4>5</vt:i4>
      </vt:variant>
      <vt:variant>
        <vt:lpwstr>http://ec.europa.eu/anti_fraud/about-us/data-protection/processing-operations/not_subject_en.htm</vt:lpwstr>
      </vt:variant>
      <vt:variant>
        <vt:lpwstr/>
      </vt:variant>
      <vt:variant>
        <vt:i4>3997791</vt:i4>
      </vt:variant>
      <vt:variant>
        <vt:i4>138</vt:i4>
      </vt:variant>
      <vt:variant>
        <vt:i4>0</vt:i4>
      </vt:variant>
      <vt:variant>
        <vt:i4>5</vt:i4>
      </vt:variant>
      <vt:variant>
        <vt:lpwstr>http://ec.europa.eu/dataprotectionofficer/privacystatement_publicprocurement_en.pdf</vt:lpwstr>
      </vt:variant>
      <vt:variant>
        <vt:lpwstr/>
      </vt:variant>
      <vt:variant>
        <vt:i4>7340072</vt:i4>
      </vt:variant>
      <vt:variant>
        <vt:i4>135</vt:i4>
      </vt:variant>
      <vt:variant>
        <vt:i4>0</vt:i4>
      </vt:variant>
      <vt:variant>
        <vt:i4>5</vt:i4>
      </vt:variant>
      <vt:variant>
        <vt:lpwstr>mailto:Olaf-anti-fraud-training@ec.europea.eu</vt:lpwstr>
      </vt:variant>
      <vt:variant>
        <vt:lpwstr/>
      </vt:variant>
      <vt:variant>
        <vt:i4>7340072</vt:i4>
      </vt:variant>
      <vt:variant>
        <vt:i4>132</vt:i4>
      </vt:variant>
      <vt:variant>
        <vt:i4>0</vt:i4>
      </vt:variant>
      <vt:variant>
        <vt:i4>5</vt:i4>
      </vt:variant>
      <vt:variant>
        <vt:lpwstr>mailto:Olaf-anti-fraud-training@ec.europea.eu</vt:lpwstr>
      </vt:variant>
      <vt:variant>
        <vt:lpwstr/>
      </vt:variant>
      <vt:variant>
        <vt:i4>7995441</vt:i4>
      </vt:variant>
      <vt:variant>
        <vt:i4>129</vt:i4>
      </vt:variant>
      <vt:variant>
        <vt:i4>0</vt:i4>
      </vt:variant>
      <vt:variant>
        <vt:i4>5</vt:i4>
      </vt:variant>
      <vt:variant>
        <vt:lpwstr>http://ec.europa.eu/anti_fraud/about-us/funding/index_en.htm</vt:lpwstr>
      </vt:variant>
      <vt:variant>
        <vt:lpwstr/>
      </vt:variant>
      <vt:variant>
        <vt:i4>7995441</vt:i4>
      </vt:variant>
      <vt:variant>
        <vt:i4>126</vt:i4>
      </vt:variant>
      <vt:variant>
        <vt:i4>0</vt:i4>
      </vt:variant>
      <vt:variant>
        <vt:i4>5</vt:i4>
      </vt:variant>
      <vt:variant>
        <vt:lpwstr>http://ec.europa.eu/anti_fraud/about-us/funding/index_en.htm</vt:lpwstr>
      </vt:variant>
      <vt:variant>
        <vt:lpwstr/>
      </vt:variant>
      <vt:variant>
        <vt:i4>3080210</vt:i4>
      </vt:variant>
      <vt:variant>
        <vt:i4>123</vt:i4>
      </vt:variant>
      <vt:variant>
        <vt:i4>0</vt:i4>
      </vt:variant>
      <vt:variant>
        <vt:i4>5</vt:i4>
      </vt:variant>
      <vt:variant>
        <vt:lpwstr>mailto:Olaf-anti-fraud-training@ec.europa.eu</vt:lpwstr>
      </vt:variant>
      <vt:variant>
        <vt:lpwstr/>
      </vt:variant>
      <vt:variant>
        <vt:i4>4128772</vt:i4>
      </vt:variant>
      <vt:variant>
        <vt:i4>120</vt:i4>
      </vt:variant>
      <vt:variant>
        <vt:i4>0</vt:i4>
      </vt:variant>
      <vt:variant>
        <vt:i4>5</vt:i4>
      </vt:variant>
      <vt:variant>
        <vt:lpwstr>http://ec.europa.eu/oib/buildings_en.cfm</vt:lpwstr>
      </vt:variant>
      <vt:variant>
        <vt:lpwstr/>
      </vt:variant>
      <vt:variant>
        <vt:i4>4128833</vt:i4>
      </vt:variant>
      <vt:variant>
        <vt:i4>117</vt:i4>
      </vt:variant>
      <vt:variant>
        <vt:i4>0</vt:i4>
      </vt:variant>
      <vt:variant>
        <vt:i4>5</vt:i4>
      </vt:variant>
      <vt:variant>
        <vt:lpwstr>http://ec.europa.eu/anti_fraud/about-us/funding/training/items/report_documents_en.htm</vt:lpwstr>
      </vt:variant>
      <vt:variant>
        <vt:lpwstr/>
      </vt:variant>
      <vt:variant>
        <vt:i4>7340072</vt:i4>
      </vt:variant>
      <vt:variant>
        <vt:i4>114</vt:i4>
      </vt:variant>
      <vt:variant>
        <vt:i4>0</vt:i4>
      </vt:variant>
      <vt:variant>
        <vt:i4>5</vt:i4>
      </vt:variant>
      <vt:variant>
        <vt:lpwstr>mailto:Olaf-anti-fraud-training@ec.europea.eu</vt:lpwstr>
      </vt:variant>
      <vt:variant>
        <vt:lpwstr/>
      </vt:variant>
      <vt:variant>
        <vt:i4>917627</vt:i4>
      </vt:variant>
      <vt:variant>
        <vt:i4>15</vt:i4>
      </vt:variant>
      <vt:variant>
        <vt:i4>0</vt:i4>
      </vt:variant>
      <vt:variant>
        <vt:i4>5</vt:i4>
      </vt:variant>
      <vt:variant>
        <vt:lpwstr>http://www.edps.europa.eu</vt:lpwstr>
      </vt:variant>
      <vt:variant>
        <vt:lpwstr/>
      </vt:variant>
      <vt:variant>
        <vt:i4>5308539</vt:i4>
      </vt:variant>
      <vt:variant>
        <vt:i4>12</vt:i4>
      </vt:variant>
      <vt:variant>
        <vt:i4>0</vt:i4>
      </vt:variant>
      <vt:variant>
        <vt:i4>5</vt:i4>
      </vt:variant>
      <vt:variant>
        <vt:lpwstr>http://ec.europa.eu/contact/mailing_en.htm</vt:lpwstr>
      </vt:variant>
      <vt:variant>
        <vt:lpwstr/>
      </vt:variant>
      <vt:variant>
        <vt:i4>6357036</vt:i4>
      </vt:variant>
      <vt:variant>
        <vt:i4>9</vt:i4>
      </vt:variant>
      <vt:variant>
        <vt:i4>0</vt:i4>
      </vt:variant>
      <vt:variant>
        <vt:i4>5</vt:i4>
      </vt:variant>
      <vt:variant>
        <vt:lpwstr>http://europass.cedefop.europa.eu/</vt:lpwstr>
      </vt:variant>
      <vt:variant>
        <vt:lpwstr/>
      </vt:variant>
      <vt:variant>
        <vt:i4>4522026</vt:i4>
      </vt:variant>
      <vt:variant>
        <vt:i4>6</vt:i4>
      </vt:variant>
      <vt:variant>
        <vt:i4>0</vt:i4>
      </vt:variant>
      <vt:variant>
        <vt:i4>5</vt:i4>
      </vt:variant>
      <vt:variant>
        <vt:lpwstr>http://ec.europa.eu/budget/biblio/documents/regulations/regulations_en.cfm</vt:lpwstr>
      </vt:variant>
      <vt:variant>
        <vt:lpwstr/>
      </vt:variant>
      <vt:variant>
        <vt:i4>4522026</vt:i4>
      </vt:variant>
      <vt:variant>
        <vt:i4>3</vt:i4>
      </vt:variant>
      <vt:variant>
        <vt:i4>0</vt:i4>
      </vt:variant>
      <vt:variant>
        <vt:i4>5</vt:i4>
      </vt:variant>
      <vt:variant>
        <vt:lpwstr>http://ec.europa.eu/budget/biblio/documents/regulations/regulations_en.cfm</vt:lpwstr>
      </vt:variant>
      <vt:variant>
        <vt:lpwstr/>
      </vt:variant>
      <vt:variant>
        <vt:i4>1048651</vt:i4>
      </vt:variant>
      <vt:variant>
        <vt:i4>0</vt:i4>
      </vt:variant>
      <vt:variant>
        <vt:i4>0</vt:i4>
      </vt:variant>
      <vt:variant>
        <vt:i4>5</vt:i4>
      </vt:variant>
      <vt:variant>
        <vt:lpwstr>http://eur-lex.europa.eu/JOHtml.do?uri=OJ:L:2014:084:SOM:EN:HTML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Hercule III programme - Call for proposals 2017 - Law training and studies</dc:title>
  <dc:subject>Hercule III programme - Call for proposals 2017 - Law training and studies</dc:subject>
  <dc:creator>OLAF, European Anti-Fraud Office</dc:creator>
  <cp:keywords>OLAF, European Anti-Fraud Office, European Commission, EU, funding, fraud, Hercule III, call for proposals, 2017, law training, legal studies, money, grants, application, apply, evaluation, eligibility, exclusion, selection</cp:keywords>
  <cp:lastModifiedBy>GOROMBEY Reka (OLAF)</cp:lastModifiedBy>
  <cp:revision>4</cp:revision>
  <cp:lastPrinted>2017-06-14T12:37:00Z</cp:lastPrinted>
  <dcterms:created xsi:type="dcterms:W3CDTF">2017-06-09T14:28:00Z</dcterms:created>
  <dcterms:modified xsi:type="dcterms:W3CDTF">2017-06-14T12:37:00Z</dcterms:modified>
</cp:coreProperties>
</file>