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5D" w:rsidRPr="00E4341B" w:rsidRDefault="00F10EA9" w:rsidP="001619A7">
      <w:pPr>
        <w:pStyle w:val="SectionTitle"/>
        <w:rPr>
          <w:sz w:val="24"/>
          <w:szCs w:val="24"/>
        </w:rPr>
      </w:pPr>
      <w:r w:rsidRPr="00E4341B">
        <w:rPr>
          <w:noProof/>
          <w:lang w:val="en-GB" w:eastAsia="en-GB" w:bidi="ar-SA"/>
        </w:rPr>
        <w:drawing>
          <wp:inline distT="0" distB="0" distL="0" distR="0" wp14:anchorId="636555F1" wp14:editId="419ED937">
            <wp:extent cx="2011680" cy="1384935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058574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B7" w:rsidRPr="00E4341B" w:rsidRDefault="00E4341B" w:rsidP="004A06B7">
      <w:pPr>
        <w:pStyle w:val="SectionTitle"/>
        <w:rPr>
          <w:color w:val="365F91"/>
          <w:sz w:val="24"/>
          <w:szCs w:val="24"/>
        </w:rPr>
      </w:pPr>
      <w:r w:rsidRPr="00E4341B">
        <w:rPr>
          <w:color w:val="365F91"/>
          <w:sz w:val="24"/>
        </w:rPr>
        <w:t xml:space="preserve">EUROPA </w:t>
      </w:r>
      <w:r w:rsidR="004A06B7" w:rsidRPr="00E4341B">
        <w:rPr>
          <w:color w:val="365F91"/>
          <w:sz w:val="24"/>
        </w:rPr>
        <w:t>CREATIV</w:t>
      </w:r>
      <w:r w:rsidRPr="00E4341B">
        <w:rPr>
          <w:color w:val="365F91"/>
          <w:sz w:val="24"/>
        </w:rPr>
        <w:t>A</w:t>
      </w:r>
      <w:r w:rsidR="004A06B7" w:rsidRPr="00E4341B">
        <w:rPr>
          <w:color w:val="365F91"/>
          <w:sz w:val="24"/>
        </w:rPr>
        <w:t xml:space="preserve"> (2014-2020)</w:t>
      </w:r>
    </w:p>
    <w:p w:rsidR="004A06B7" w:rsidRPr="00E4341B" w:rsidRDefault="00E4341B" w:rsidP="004A06B7">
      <w:pPr>
        <w:pStyle w:val="SectionTitle"/>
        <w:rPr>
          <w:color w:val="365F91"/>
          <w:sz w:val="24"/>
          <w:szCs w:val="24"/>
        </w:rPr>
      </w:pPr>
      <w:r w:rsidRPr="00E4341B">
        <w:rPr>
          <w:color w:val="365F91"/>
          <w:sz w:val="24"/>
        </w:rPr>
        <w:t>SOTTOPROGRAMMA MEDIA</w:t>
      </w:r>
    </w:p>
    <w:p w:rsidR="004A06B7" w:rsidRPr="00E4341B" w:rsidRDefault="004A06B7" w:rsidP="004A06B7">
      <w:pPr>
        <w:pStyle w:val="SectionTitle"/>
        <w:rPr>
          <w:sz w:val="24"/>
          <w:szCs w:val="24"/>
        </w:rPr>
      </w:pPr>
      <w:r w:rsidRPr="00E4341B">
        <w:rPr>
          <w:sz w:val="24"/>
        </w:rPr>
        <w:t>Invito a presentare proposte – EACEA/33/</w:t>
      </w:r>
      <w:proofErr w:type="gramStart"/>
      <w:r w:rsidRPr="00E4341B">
        <w:rPr>
          <w:sz w:val="24"/>
        </w:rPr>
        <w:t>2018</w:t>
      </w:r>
      <w:proofErr w:type="gramEnd"/>
    </w:p>
    <w:p w:rsidR="004A06B7" w:rsidRPr="00E4341B" w:rsidRDefault="004A06B7" w:rsidP="004A06B7">
      <w:pPr>
        <w:jc w:val="center"/>
        <w:rPr>
          <w:b/>
          <w:i/>
        </w:rPr>
      </w:pPr>
      <w:r w:rsidRPr="00E4341B">
        <w:rPr>
          <w:b/>
          <w:i/>
        </w:rPr>
        <w:t>Sostegno all’educazione cinematografica</w:t>
      </w:r>
    </w:p>
    <w:p w:rsidR="00E4341B" w:rsidRPr="00E4341B" w:rsidRDefault="00E4341B" w:rsidP="004A06B7">
      <w:pPr>
        <w:jc w:val="center"/>
        <w:rPr>
          <w:rFonts w:eastAsia="Arial Unicode MS"/>
          <w:b/>
          <w:smallCaps/>
          <w:sz w:val="44"/>
        </w:rPr>
      </w:pPr>
    </w:p>
    <w:p w:rsidR="004A06B7" w:rsidRPr="00E4341B" w:rsidRDefault="004A06B7" w:rsidP="004A06B7">
      <w:pPr>
        <w:keepNext/>
        <w:numPr>
          <w:ilvl w:val="0"/>
          <w:numId w:val="1"/>
        </w:numPr>
        <w:spacing w:before="240" w:after="240"/>
        <w:outlineLvl w:val="0"/>
        <w:rPr>
          <w:b/>
          <w:smallCaps/>
          <w:sz w:val="22"/>
          <w:szCs w:val="22"/>
          <w:lang w:bidi="ar-SA"/>
        </w:rPr>
      </w:pPr>
      <w:r w:rsidRPr="00E4341B">
        <w:rPr>
          <w:b/>
          <w:smallCaps/>
          <w:sz w:val="22"/>
          <w:szCs w:val="20"/>
          <w:lang w:bidi="ar-SA"/>
        </w:rPr>
        <w:t>Obiettivi e descrizione</w:t>
      </w:r>
    </w:p>
    <w:p w:rsidR="004A06B7" w:rsidRPr="00E4341B" w:rsidRDefault="004A06B7" w:rsidP="004A06B7">
      <w:pPr>
        <w:spacing w:after="240"/>
        <w:jc w:val="both"/>
        <w:rPr>
          <w:sz w:val="22"/>
          <w:szCs w:val="22"/>
          <w:lang w:bidi="ar-SA"/>
        </w:rPr>
      </w:pPr>
      <w:r w:rsidRPr="00E4341B">
        <w:rPr>
          <w:sz w:val="22"/>
          <w:szCs w:val="20"/>
          <w:lang w:bidi="ar-SA"/>
        </w:rPr>
        <w:t>Il presente invito a presentare proposte si basa sul regolamento n. 1295/2013 del Parlamento europeo e del Consiglio, dell'11 dicembre 2013, relativo all'attuazione di un programma di sostegno al settore culturale e creativo europeo (EUROPA CREATIVA)</w:t>
      </w:r>
      <w:r w:rsidRPr="00E4341B">
        <w:rPr>
          <w:sz w:val="22"/>
          <w:szCs w:val="22"/>
        </w:rPr>
        <w:t xml:space="preserve"> e sulla sua rettifica del 27/06/</w:t>
      </w:r>
      <w:proofErr w:type="gramStart"/>
      <w:r w:rsidRPr="00E4341B">
        <w:rPr>
          <w:sz w:val="22"/>
          <w:szCs w:val="22"/>
        </w:rPr>
        <w:t>2014</w:t>
      </w:r>
      <w:proofErr w:type="gramEnd"/>
      <w:r w:rsidRPr="00E4341B">
        <w:rPr>
          <w:sz w:val="22"/>
          <w:szCs w:val="22"/>
          <w:vertAlign w:val="superscript"/>
        </w:rPr>
        <w:footnoteReference w:id="1"/>
      </w:r>
      <w:r w:rsidRPr="00E4341B">
        <w:rPr>
          <w:sz w:val="22"/>
          <w:szCs w:val="22"/>
        </w:rPr>
        <w:t>.</w:t>
      </w:r>
      <w:r w:rsidR="00F10EA9" w:rsidRPr="00E4341B">
        <w:rPr>
          <w:sz w:val="22"/>
          <w:szCs w:val="22"/>
        </w:rPr>
        <w:t xml:space="preserve"> </w:t>
      </w:r>
      <w:r w:rsidRPr="00E4341B">
        <w:rPr>
          <w:sz w:val="22"/>
          <w:szCs w:val="20"/>
          <w:lang w:bidi="ar-SA"/>
        </w:rPr>
        <w:t>Nell'ambito dell'obiettivo specifico di promuovere la circolazione transnazionale, una delle priorità del sottoprogramma MEDIA è:</w:t>
      </w:r>
    </w:p>
    <w:p w:rsidR="004A06B7" w:rsidRPr="00E4341B" w:rsidRDefault="004A06B7" w:rsidP="004A06B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720"/>
        <w:rPr>
          <w:sz w:val="22"/>
          <w:szCs w:val="22"/>
          <w:lang w:bidi="ar-SA"/>
        </w:rPr>
      </w:pPr>
      <w:proofErr w:type="gramStart"/>
      <w:r w:rsidRPr="00E4341B">
        <w:rPr>
          <w:sz w:val="22"/>
          <w:lang w:bidi="ar-SA"/>
        </w:rPr>
        <w:t>sostenere</w:t>
      </w:r>
      <w:proofErr w:type="gramEnd"/>
      <w:r w:rsidRPr="00E4341B">
        <w:rPr>
          <w:sz w:val="22"/>
          <w:lang w:bidi="ar-SA"/>
        </w:rPr>
        <w:t xml:space="preserve"> lo sviluppo del pubblico come strumento per stimolare l'interesse nei confronti delle opere audiovisive europee e migliorare l'accesso alle stesse, in particolare attraverso attività di promozione, manifestazioni, alfabetizzazione cinematografica e festival del cinema. </w:t>
      </w:r>
    </w:p>
    <w:p w:rsidR="004A06B7" w:rsidRPr="00E4341B" w:rsidRDefault="004A06B7" w:rsidP="004A06B7">
      <w:pPr>
        <w:widowControl w:val="0"/>
        <w:tabs>
          <w:tab w:val="left" w:pos="1180"/>
        </w:tabs>
        <w:autoSpaceDE w:val="0"/>
        <w:autoSpaceDN w:val="0"/>
        <w:adjustRightInd w:val="0"/>
        <w:ind w:right="-20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>Il sottoprogramma MEDIA fornisce sostegno alle seguenti misure:</w:t>
      </w:r>
    </w:p>
    <w:p w:rsidR="004A06B7" w:rsidRPr="00E4341B" w:rsidRDefault="004A06B7" w:rsidP="004A06B7">
      <w:pPr>
        <w:jc w:val="both"/>
        <w:rPr>
          <w:bCs/>
          <w:sz w:val="22"/>
          <w:szCs w:val="22"/>
          <w:lang w:bidi="ar-SA"/>
        </w:rPr>
      </w:pPr>
    </w:p>
    <w:p w:rsidR="004A06B7" w:rsidRPr="00E4341B" w:rsidRDefault="004A06B7" w:rsidP="004A06B7">
      <w:pPr>
        <w:numPr>
          <w:ilvl w:val="0"/>
          <w:numId w:val="11"/>
        </w:numPr>
        <w:spacing w:after="200" w:line="276" w:lineRule="auto"/>
        <w:ind w:hanging="720"/>
        <w:jc w:val="both"/>
        <w:rPr>
          <w:bCs/>
          <w:sz w:val="22"/>
          <w:szCs w:val="22"/>
          <w:lang w:bidi="ar-SA"/>
        </w:rPr>
      </w:pPr>
      <w:proofErr w:type="gramStart"/>
      <w:r w:rsidRPr="00E4341B">
        <w:rPr>
          <w:sz w:val="22"/>
          <w:lang w:bidi="ar-SA"/>
        </w:rPr>
        <w:t>attività</w:t>
      </w:r>
      <w:proofErr w:type="gramEnd"/>
      <w:r w:rsidRPr="00E4341B">
        <w:rPr>
          <w:sz w:val="22"/>
          <w:lang w:bidi="ar-SA"/>
        </w:rPr>
        <w:t xml:space="preserve"> finalizzate a promuovere l'alfabetizzazione cinematografica e ad accrescere le conoscenze e l'interesse del pubblico riguardo alle opere audiovisive europee, incluso il patrimonio audiovisivo e cinematografico, in particolare tra il pubblico giovane;</w:t>
      </w:r>
    </w:p>
    <w:p w:rsidR="004A06B7" w:rsidRPr="00E4341B" w:rsidRDefault="004A06B7" w:rsidP="004A06B7">
      <w:pPr>
        <w:numPr>
          <w:ilvl w:val="0"/>
          <w:numId w:val="11"/>
        </w:numPr>
        <w:spacing w:after="200" w:line="276" w:lineRule="auto"/>
        <w:ind w:hanging="720"/>
        <w:jc w:val="both"/>
        <w:rPr>
          <w:bCs/>
          <w:sz w:val="22"/>
          <w:szCs w:val="22"/>
          <w:lang w:bidi="ar-SA"/>
        </w:rPr>
      </w:pPr>
      <w:proofErr w:type="gramStart"/>
      <w:r w:rsidRPr="00E4341B">
        <w:rPr>
          <w:sz w:val="22"/>
          <w:lang w:bidi="ar-SA"/>
        </w:rPr>
        <w:t>agevolazione</w:t>
      </w:r>
      <w:proofErr w:type="gramEnd"/>
      <w:r w:rsidRPr="00E4341B">
        <w:rPr>
          <w:sz w:val="22"/>
          <w:lang w:bidi="ar-SA"/>
        </w:rPr>
        <w:t xml:space="preserve"> della circolazione dei film europei nel mondo e dei film internazionali nell'Unione su tutte le piattaforme di distribuzione, attraverso progetti di cooperazione internazionale nel settore audiovisivo.</w:t>
      </w:r>
    </w:p>
    <w:p w:rsidR="004A06B7" w:rsidRPr="00E4341B" w:rsidRDefault="004A06B7" w:rsidP="004A06B7">
      <w:pPr>
        <w:keepNext/>
        <w:numPr>
          <w:ilvl w:val="0"/>
          <w:numId w:val="1"/>
        </w:numPr>
        <w:spacing w:before="240" w:after="240"/>
        <w:outlineLvl w:val="0"/>
        <w:rPr>
          <w:b/>
          <w:smallCaps/>
          <w:sz w:val="22"/>
          <w:szCs w:val="22"/>
          <w:lang w:bidi="ar-SA"/>
        </w:rPr>
      </w:pPr>
      <w:r w:rsidRPr="00E4341B">
        <w:rPr>
          <w:b/>
          <w:smallCaps/>
          <w:sz w:val="22"/>
          <w:szCs w:val="20"/>
          <w:lang w:bidi="ar-SA"/>
        </w:rPr>
        <w:t>Candidati ammissibili</w:t>
      </w:r>
    </w:p>
    <w:p w:rsidR="004A06B7" w:rsidRPr="00E4341B" w:rsidRDefault="004A06B7" w:rsidP="004A06B7">
      <w:pPr>
        <w:spacing w:before="120" w:after="240"/>
        <w:jc w:val="both"/>
        <w:rPr>
          <w:rFonts w:eastAsia="Arial Unicode MS"/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I candidati devono essere consorzi (formati da un capoprogetto e da almeno due partner) di persone giuridiche europee (aziende private, organizzazioni senza scopo di lucro, associazioni, enti di beneficenza, fondazioni, comuni/consigli comunali, eccetera) che abbiano sede in uno dei paesi </w:t>
      </w:r>
      <w:r w:rsidRPr="00E4341B">
        <w:rPr>
          <w:sz w:val="22"/>
          <w:lang w:bidi="ar-SA"/>
        </w:rPr>
        <w:lastRenderedPageBreak/>
        <w:t xml:space="preserve">partecipanti al sottoprogramma MEDIA e appartengano direttamente o tramite partecipazione maggioritaria a cittadini di tali paesi. </w:t>
      </w:r>
    </w:p>
    <w:p w:rsidR="004A06B7" w:rsidRPr="00E4341B" w:rsidRDefault="004A06B7" w:rsidP="004A06B7">
      <w:pPr>
        <w:spacing w:after="120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Sono ammissibili le candidature presentate da persone giuridiche stabilite in uno dei seguenti paesi, purché siano soddisfatte tutte le condizioni di cui all’articolo </w:t>
      </w:r>
      <w:proofErr w:type="gramStart"/>
      <w:r w:rsidRPr="00E4341B">
        <w:rPr>
          <w:sz w:val="22"/>
          <w:lang w:bidi="ar-SA"/>
        </w:rPr>
        <w:t>8</w:t>
      </w:r>
      <w:proofErr w:type="gramEnd"/>
      <w:r w:rsidRPr="00E4341B">
        <w:rPr>
          <w:sz w:val="22"/>
          <w:lang w:bidi="ar-SA"/>
        </w:rPr>
        <w:t xml:space="preserve"> del regolamento che istituisce il programma Europa creativa: </w:t>
      </w:r>
    </w:p>
    <w:p w:rsidR="004A06B7" w:rsidRPr="00E4341B" w:rsidRDefault="004A06B7" w:rsidP="004A06B7">
      <w:pPr>
        <w:spacing w:after="60" w:line="274" w:lineRule="exact"/>
        <w:ind w:left="720" w:right="20" w:hanging="360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>-</w:t>
      </w:r>
      <w:r w:rsidRPr="00E4341B">
        <w:rPr>
          <w:sz w:val="22"/>
          <w:lang w:bidi="ar-SA"/>
        </w:rPr>
        <w:tab/>
      </w:r>
      <w:r w:rsidRPr="00E4341B">
        <w:rPr>
          <w:sz w:val="22"/>
        </w:rPr>
        <w:t xml:space="preserve">gli Stati membri dell’Unione europea e i paesi e territori d’oltremare ammessi a partecipare al programma ai sensi dell’articolo </w:t>
      </w:r>
      <w:proofErr w:type="gramStart"/>
      <w:r w:rsidRPr="00E4341B">
        <w:rPr>
          <w:sz w:val="22"/>
        </w:rPr>
        <w:t>58</w:t>
      </w:r>
      <w:proofErr w:type="gramEnd"/>
      <w:r w:rsidRPr="00E4341B">
        <w:rPr>
          <w:sz w:val="22"/>
        </w:rPr>
        <w:t xml:space="preserve"> della decisione 2001/822/CE del Consiglio</w:t>
      </w:r>
      <w:r w:rsidRPr="00E4341B">
        <w:rPr>
          <w:sz w:val="22"/>
          <w:lang w:bidi="ar-SA"/>
        </w:rPr>
        <w:t>;</w:t>
      </w:r>
    </w:p>
    <w:p w:rsidR="004A06B7" w:rsidRPr="00E4341B" w:rsidRDefault="004A06B7" w:rsidP="004A06B7">
      <w:pPr>
        <w:spacing w:after="60" w:line="274" w:lineRule="exact"/>
        <w:ind w:left="720" w:right="20" w:hanging="360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>-</w:t>
      </w:r>
      <w:r w:rsidRPr="00E4341B">
        <w:rPr>
          <w:sz w:val="22"/>
          <w:lang w:bidi="ar-SA"/>
        </w:rPr>
        <w:tab/>
        <w:t xml:space="preserve">i paesi aderenti, i </w:t>
      </w:r>
      <w:proofErr w:type="gramStart"/>
      <w:r w:rsidRPr="00E4341B">
        <w:rPr>
          <w:sz w:val="22"/>
          <w:lang w:bidi="ar-SA"/>
        </w:rPr>
        <w:t>paesi</w:t>
      </w:r>
      <w:proofErr w:type="gramEnd"/>
      <w:r w:rsidRPr="00E4341B">
        <w:rPr>
          <w:sz w:val="22"/>
          <w:lang w:bidi="ar-SA"/>
        </w:rPr>
        <w:t xml:space="preserve"> candidati e i paesi candidati potenziali che beneficiano di una strategia di preadesione, conformemente ai principi generali e alle condizioni generali per la partecipazione di tali paesi ai programmi dell'Unione istituiti a norma dei rispettivi accordi quadro, di decisioni dei consigli di associazione o di accordi analoghi;</w:t>
      </w:r>
    </w:p>
    <w:p w:rsidR="004A06B7" w:rsidRPr="00E4341B" w:rsidRDefault="004A06B7" w:rsidP="004A06B7">
      <w:pPr>
        <w:spacing w:after="60" w:line="274" w:lineRule="exact"/>
        <w:ind w:left="720" w:right="20" w:hanging="360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>-</w:t>
      </w:r>
      <w:r w:rsidRPr="00E4341B">
        <w:rPr>
          <w:sz w:val="22"/>
          <w:lang w:bidi="ar-SA"/>
        </w:rPr>
        <w:tab/>
        <w:t>i paesi EFTA che sono membri dell'accordo SEE, conformemente alle disposizioni di tale accordo;</w:t>
      </w:r>
    </w:p>
    <w:p w:rsidR="004A06B7" w:rsidRPr="00E4341B" w:rsidRDefault="004A06B7" w:rsidP="004A06B7">
      <w:pPr>
        <w:spacing w:after="60" w:line="274" w:lineRule="exact"/>
        <w:ind w:left="720" w:right="20" w:hanging="360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>-</w:t>
      </w:r>
      <w:r w:rsidRPr="00E4341B">
        <w:rPr>
          <w:sz w:val="22"/>
          <w:lang w:bidi="ar-SA"/>
        </w:rPr>
        <w:tab/>
        <w:t xml:space="preserve">la Confederazione svizzera, in virtù di un accordo bilaterale da </w:t>
      </w:r>
      <w:proofErr w:type="gramStart"/>
      <w:r w:rsidRPr="00E4341B">
        <w:rPr>
          <w:sz w:val="22"/>
          <w:lang w:bidi="ar-SA"/>
        </w:rPr>
        <w:t>concludere</w:t>
      </w:r>
      <w:proofErr w:type="gramEnd"/>
      <w:r w:rsidRPr="00E4341B">
        <w:rPr>
          <w:sz w:val="22"/>
          <w:lang w:bidi="ar-SA"/>
        </w:rPr>
        <w:t xml:space="preserve"> con tale paese;</w:t>
      </w:r>
    </w:p>
    <w:p w:rsidR="004A06B7" w:rsidRPr="00E4341B" w:rsidRDefault="004A06B7" w:rsidP="004A06B7">
      <w:pPr>
        <w:spacing w:after="180" w:line="274" w:lineRule="exact"/>
        <w:ind w:left="720" w:right="20" w:hanging="360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>-</w:t>
      </w:r>
      <w:r w:rsidRPr="00E4341B">
        <w:rPr>
          <w:sz w:val="22"/>
          <w:lang w:bidi="ar-SA"/>
        </w:rPr>
        <w:tab/>
        <w:t>i paesi interessati dalla politica europea di vicinato, conformemente alle procedure stabilite con tali paesi in base agli accordi quadro che ne prevedono la partecipazione ai programmi dell'Unione.</w:t>
      </w:r>
    </w:p>
    <w:p w:rsidR="004A06B7" w:rsidRPr="00E4341B" w:rsidRDefault="004A06B7" w:rsidP="004A06B7">
      <w:pPr>
        <w:spacing w:after="180" w:line="274" w:lineRule="exact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Il programma è aperto anche ad azioni di cooperazione bilaterale o multilaterale mirate ai paesi o regioni selezionati </w:t>
      </w:r>
      <w:proofErr w:type="gramStart"/>
      <w:r w:rsidRPr="00E4341B">
        <w:rPr>
          <w:sz w:val="22"/>
          <w:lang w:bidi="ar-SA"/>
        </w:rPr>
        <w:t>sulla base di</w:t>
      </w:r>
      <w:proofErr w:type="gramEnd"/>
      <w:r w:rsidRPr="00E4341B">
        <w:rPr>
          <w:sz w:val="22"/>
          <w:lang w:bidi="ar-SA"/>
        </w:rPr>
        <w:t xml:space="preserve"> stanziamenti supplementari versati da tali paesi o regioni e di disposizioni specifiche da concordare con gli stessi.</w:t>
      </w:r>
    </w:p>
    <w:p w:rsidR="004A06B7" w:rsidRPr="00E4341B" w:rsidRDefault="004A06B7" w:rsidP="004A06B7">
      <w:pPr>
        <w:spacing w:after="180" w:line="274" w:lineRule="exact"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Il programma consente la cooperazione e azioni comuni con paesi che non partecipano al programma e con organizzazioni internazionali attive nei settori culturali e creativi quali l'UNESCO, il Consiglio d'Europa, l'Organizzazione per la cooperazione e lo sviluppo economici o l'Organizzazione mondiale della proprietà intellettuale </w:t>
      </w:r>
      <w:proofErr w:type="gramStart"/>
      <w:r w:rsidRPr="00E4341B">
        <w:rPr>
          <w:sz w:val="22"/>
          <w:lang w:bidi="ar-SA"/>
        </w:rPr>
        <w:t>sulla base di</w:t>
      </w:r>
      <w:proofErr w:type="gramEnd"/>
      <w:r w:rsidRPr="00E4341B">
        <w:rPr>
          <w:sz w:val="22"/>
          <w:lang w:bidi="ar-SA"/>
        </w:rPr>
        <w:t xml:space="preserve"> contributi comuni finalizzati alla realizzazione degli obiettivi del programma.</w:t>
      </w:r>
    </w:p>
    <w:p w:rsidR="004A06B7" w:rsidRPr="00E4341B" w:rsidRDefault="004A06B7" w:rsidP="004A06B7">
      <w:pPr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Le proposte di candidati di paesi non appartenenti all'UE possono essere selezionate a condizione che, alla data della decisione di concessione del contributo, siano stati firmati accordi che fissano le </w:t>
      </w:r>
      <w:proofErr w:type="gramStart"/>
      <w:r w:rsidRPr="00E4341B">
        <w:rPr>
          <w:sz w:val="22"/>
          <w:lang w:bidi="ar-SA"/>
        </w:rPr>
        <w:t>modalità</w:t>
      </w:r>
      <w:proofErr w:type="gramEnd"/>
      <w:r w:rsidRPr="00E4341B">
        <w:rPr>
          <w:sz w:val="22"/>
          <w:lang w:bidi="ar-SA"/>
        </w:rPr>
        <w:t xml:space="preserve"> di partecipazione di tali paesi al programma stabilito dal regolamento di cui sopra. </w:t>
      </w:r>
    </w:p>
    <w:p w:rsidR="00863699" w:rsidRPr="00E4341B" w:rsidRDefault="004A06B7" w:rsidP="004A06B7">
      <w:pPr>
        <w:jc w:val="both"/>
        <w:rPr>
          <w:sz w:val="22"/>
          <w:szCs w:val="22"/>
        </w:rPr>
      </w:pPr>
      <w:proofErr w:type="gramStart"/>
      <w:r w:rsidRPr="00E4341B">
        <w:rPr>
          <w:sz w:val="22"/>
          <w:lang w:bidi="ar-SA"/>
        </w:rPr>
        <w:t>(L'</w:t>
      </w:r>
      <w:proofErr w:type="gramEnd"/>
      <w:r w:rsidRPr="00E4341B">
        <w:rPr>
          <w:sz w:val="22"/>
          <w:lang w:bidi="ar-SA"/>
        </w:rPr>
        <w:t>elenco aggiornato dei paesi che soddisfano le condizioni di cui all'articolo 8 del regolamento e con cui la Commissione ha avviato negoziati è consultabile al seguente link</w:t>
      </w:r>
      <w:r w:rsidR="00F10EA9" w:rsidRPr="00E4341B">
        <w:rPr>
          <w:sz w:val="22"/>
        </w:rPr>
        <w:t>:</w:t>
      </w:r>
    </w:p>
    <w:p w:rsidR="000139A4" w:rsidRPr="00E4341B" w:rsidRDefault="00D60968" w:rsidP="001337F5">
      <w:pPr>
        <w:jc w:val="both"/>
        <w:rPr>
          <w:rFonts w:eastAsia="Calibri"/>
          <w:sz w:val="22"/>
          <w:szCs w:val="22"/>
        </w:rPr>
      </w:pPr>
      <w:hyperlink r:id="rId10" w:history="1">
        <w:r w:rsidR="00F10EA9" w:rsidRPr="00E4341B">
          <w:rPr>
            <w:rStyle w:val="Hyperlink"/>
            <w:color w:val="auto"/>
            <w:sz w:val="22"/>
          </w:rPr>
          <w:t>http://eacea.ec.europa.eu/creative-europe/library/eligibility-organisations-non-eu-countries_en</w:t>
        </w:r>
      </w:hyperlink>
      <w:proofErr w:type="gramStart"/>
      <w:r w:rsidR="00F10EA9" w:rsidRPr="00E4341B">
        <w:rPr>
          <w:sz w:val="22"/>
        </w:rPr>
        <w:t>).</w:t>
      </w:r>
      <w:proofErr w:type="gramEnd"/>
    </w:p>
    <w:p w:rsidR="001337F5" w:rsidRPr="00E4341B" w:rsidRDefault="001337F5" w:rsidP="001337F5">
      <w:pPr>
        <w:jc w:val="both"/>
        <w:rPr>
          <w:rFonts w:eastAsia="Calibri"/>
          <w:sz w:val="22"/>
          <w:szCs w:val="22"/>
        </w:rPr>
      </w:pPr>
    </w:p>
    <w:p w:rsidR="001337F5" w:rsidRPr="00E4341B" w:rsidRDefault="00F10EA9" w:rsidP="001337F5">
      <w:pPr>
        <w:jc w:val="both"/>
        <w:rPr>
          <w:rFonts w:eastAsia="Calibri"/>
          <w:sz w:val="22"/>
          <w:szCs w:val="22"/>
        </w:rPr>
      </w:pPr>
      <w:r w:rsidRPr="00E4341B">
        <w:rPr>
          <w:sz w:val="22"/>
        </w:rPr>
        <w:t xml:space="preserve">Il responsabile del progetto presenterà la domanda </w:t>
      </w:r>
      <w:proofErr w:type="gramStart"/>
      <w:r w:rsidRPr="00E4341B">
        <w:rPr>
          <w:sz w:val="22"/>
        </w:rPr>
        <w:t>a</w:t>
      </w:r>
      <w:proofErr w:type="gramEnd"/>
      <w:r w:rsidRPr="00E4341B">
        <w:rPr>
          <w:sz w:val="22"/>
        </w:rPr>
        <w:t xml:space="preserve"> nome di tutti i partner.</w:t>
      </w:r>
    </w:p>
    <w:p w:rsidR="00562159" w:rsidRPr="00E4341B" w:rsidRDefault="00562159" w:rsidP="000139A4">
      <w:pPr>
        <w:jc w:val="both"/>
        <w:rPr>
          <w:rFonts w:eastAsia="Calibri"/>
          <w:sz w:val="22"/>
          <w:szCs w:val="22"/>
        </w:rPr>
      </w:pPr>
    </w:p>
    <w:p w:rsidR="0048665C" w:rsidRPr="00E4341B" w:rsidRDefault="00F10EA9" w:rsidP="00863699">
      <w:pPr>
        <w:autoSpaceDE w:val="0"/>
        <w:autoSpaceDN w:val="0"/>
        <w:adjustRightInd w:val="0"/>
        <w:rPr>
          <w:sz w:val="22"/>
          <w:szCs w:val="22"/>
        </w:rPr>
      </w:pPr>
      <w:r w:rsidRPr="00E4341B">
        <w:rPr>
          <w:sz w:val="22"/>
        </w:rPr>
        <w:t xml:space="preserve">Le persone fisiche </w:t>
      </w:r>
      <w:r w:rsidRPr="00E4341B">
        <w:rPr>
          <w:b/>
          <w:sz w:val="22"/>
        </w:rPr>
        <w:t>non</w:t>
      </w:r>
      <w:r w:rsidRPr="00E4341B">
        <w:rPr>
          <w:sz w:val="22"/>
        </w:rPr>
        <w:t xml:space="preserve"> possono presentare domanda di sovvenzione.</w:t>
      </w:r>
    </w:p>
    <w:p w:rsidR="00D6275F" w:rsidRPr="00E4341B" w:rsidRDefault="00D60968" w:rsidP="002B5835">
      <w:pPr>
        <w:pStyle w:val="Heading1"/>
        <w:rPr>
          <w:sz w:val="22"/>
          <w:szCs w:val="22"/>
        </w:rPr>
      </w:pPr>
      <w:proofErr w:type="gramStart"/>
      <w:r>
        <w:rPr>
          <w:sz w:val="22"/>
        </w:rPr>
        <w:t>attività</w:t>
      </w:r>
      <w:proofErr w:type="gramEnd"/>
      <w:r w:rsidR="00F10EA9" w:rsidRPr="00E4341B">
        <w:rPr>
          <w:sz w:val="22"/>
        </w:rPr>
        <w:t xml:space="preserve"> ammissibili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>La cr</w:t>
      </w:r>
      <w:r w:rsidR="004A06B7" w:rsidRPr="00E4341B">
        <w:rPr>
          <w:kern w:val="32"/>
          <w:sz w:val="22"/>
        </w:rPr>
        <w:t>eazione di un catalogo curato d</w:t>
      </w:r>
      <w:r w:rsidRPr="00E4341B">
        <w:rPr>
          <w:kern w:val="32"/>
          <w:sz w:val="22"/>
        </w:rPr>
        <w:t xml:space="preserve">i film europei e del materiale didattico correlato da mettere a disposizione dei giovani tra gli </w:t>
      </w:r>
      <w:proofErr w:type="gramStart"/>
      <w:r w:rsidRPr="00E4341B">
        <w:rPr>
          <w:kern w:val="32"/>
          <w:sz w:val="22"/>
        </w:rPr>
        <w:t>11</w:t>
      </w:r>
      <w:proofErr w:type="gramEnd"/>
      <w:r w:rsidRPr="00E4341B">
        <w:rPr>
          <w:kern w:val="32"/>
          <w:sz w:val="22"/>
        </w:rPr>
        <w:t xml:space="preserve"> e i 18 anni che frequentano scuole primarie e secondarie nei paesi partecipanti al sottoprogramma MEDIA.  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Il catalogo deve comprendere film noti che hanno contribuito alla storia della filmografia europea, da utilizzare nell’ambito delle attività di educazione al cinema. 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Il catalogo deve comprendere un minimo di 7 lungometraggi. 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I diritti dei film a catalogo devono essere acquisiti per un periodo minimo di </w:t>
      </w:r>
      <w:proofErr w:type="gramStart"/>
      <w:r w:rsidR="004A06B7" w:rsidRPr="00E4341B">
        <w:rPr>
          <w:kern w:val="32"/>
          <w:sz w:val="22"/>
        </w:rPr>
        <w:t>3</w:t>
      </w:r>
      <w:proofErr w:type="gramEnd"/>
      <w:r w:rsidRPr="00E4341B">
        <w:rPr>
          <w:kern w:val="32"/>
          <w:sz w:val="22"/>
        </w:rPr>
        <w:t xml:space="preserve"> anni e per tutti i paesi partecipanti al sottoprogramma MEDIA. Le versioni linguistiche (doppiaggio o sottotitolazione) devono essere disponibili per tutti i paesi che partecipano al programma per la maggior parte dei film presenti in catalogo. 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Il catalogo deve caratterizzarsi per una certa varietà in termini di: 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lastRenderedPageBreak/>
        <w:t>-</w:t>
      </w:r>
      <w:r w:rsidRPr="00E4341B">
        <w:tab/>
      </w:r>
      <w:r w:rsidRPr="00E4341B">
        <w:rPr>
          <w:kern w:val="32"/>
          <w:sz w:val="22"/>
        </w:rPr>
        <w:t>nazionalità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>-</w:t>
      </w:r>
      <w:r w:rsidRPr="00E4341B">
        <w:tab/>
      </w:r>
      <w:r w:rsidRPr="00E4341B">
        <w:rPr>
          <w:kern w:val="32"/>
          <w:sz w:val="22"/>
        </w:rPr>
        <w:t>lingua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>-</w:t>
      </w:r>
      <w:r w:rsidRPr="00E4341B">
        <w:tab/>
      </w:r>
      <w:r w:rsidRPr="00E4341B">
        <w:rPr>
          <w:kern w:val="32"/>
          <w:sz w:val="22"/>
        </w:rPr>
        <w:t>genere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>-</w:t>
      </w:r>
      <w:r w:rsidRPr="00E4341B">
        <w:tab/>
      </w:r>
      <w:r w:rsidRPr="00E4341B">
        <w:rPr>
          <w:kern w:val="32"/>
          <w:sz w:val="22"/>
        </w:rPr>
        <w:t>anno di produzione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>-</w:t>
      </w:r>
      <w:r w:rsidRPr="00E4341B">
        <w:tab/>
      </w:r>
      <w:r w:rsidRPr="00E4341B">
        <w:rPr>
          <w:kern w:val="32"/>
          <w:sz w:val="22"/>
        </w:rPr>
        <w:t>tema/argomento</w:t>
      </w:r>
    </w:p>
    <w:p w:rsidR="00A51377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>-</w:t>
      </w:r>
      <w:r w:rsidRPr="00E4341B">
        <w:tab/>
      </w:r>
      <w:r w:rsidRPr="00E4341B">
        <w:rPr>
          <w:kern w:val="32"/>
          <w:sz w:val="22"/>
        </w:rPr>
        <w:t>sesso</w:t>
      </w:r>
    </w:p>
    <w:p w:rsidR="001337F5" w:rsidRPr="00E4341B" w:rsidRDefault="00F10EA9" w:rsidP="001337F5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La pubblicazione del catalogo dovrebbe prevedere un’ambiziosa campagna di comunicazione volta a promuovere il progetto nelle scuole e fra il grande pubblico. </w:t>
      </w:r>
    </w:p>
    <w:p w:rsidR="000D59EB" w:rsidRPr="00E4341B" w:rsidRDefault="00F10EA9" w:rsidP="000D59EB">
      <w:pPr>
        <w:spacing w:after="120"/>
        <w:jc w:val="both"/>
        <w:rPr>
          <w:rFonts w:eastAsia="Calibri"/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Le attività comprenderanno: </w:t>
      </w:r>
      <w:r w:rsidR="002B1AE9" w:rsidRPr="00E4341B">
        <w:rPr>
          <w:kern w:val="32"/>
          <w:sz w:val="22"/>
        </w:rPr>
        <w:t xml:space="preserve">l'acquisto </w:t>
      </w:r>
      <w:r w:rsidRPr="00E4341B">
        <w:rPr>
          <w:kern w:val="32"/>
          <w:sz w:val="22"/>
        </w:rPr>
        <w:t xml:space="preserve">dei diritti didattici dei film, la preparazione di pacchetti di doppiaggio o sottotitolazione, il materiale didattico e il lavoro di diffusione e promozione presso le scuole destinatarie e il grande pubblico. </w:t>
      </w:r>
    </w:p>
    <w:p w:rsidR="001337F5" w:rsidRPr="00E4341B" w:rsidRDefault="00F10EA9" w:rsidP="000D59EB">
      <w:pPr>
        <w:spacing w:after="120"/>
        <w:jc w:val="both"/>
        <w:rPr>
          <w:rFonts w:eastAsia="Arial Unicode MS"/>
          <w:sz w:val="22"/>
          <w:szCs w:val="22"/>
        </w:rPr>
      </w:pPr>
      <w:r w:rsidRPr="00E4341B">
        <w:rPr>
          <w:sz w:val="22"/>
        </w:rPr>
        <w:t>Il periodo di ammissibilità dei costi inizierà l’1/6/2019 e avrà una durata di 19 mesi. Il catalogo dovrebbe essere pronto e disponibile al più tardi entro il 30/9/2020. Gli ultimi tre mesi dell’iniziativa dovrebbero essere dedicati esclusivamente alla diffusione e alla promozione del catalogo presso le scuole e il grande pubblico.</w:t>
      </w:r>
    </w:p>
    <w:p w:rsidR="00E42571" w:rsidRPr="00E4341B" w:rsidRDefault="00F10EA9" w:rsidP="00E42571">
      <w:pPr>
        <w:pStyle w:val="Heading1"/>
        <w:rPr>
          <w:sz w:val="22"/>
          <w:szCs w:val="22"/>
        </w:rPr>
      </w:pPr>
      <w:r w:rsidRPr="00E4341B">
        <w:rPr>
          <w:sz w:val="22"/>
          <w:szCs w:val="22"/>
        </w:rPr>
        <w:t>Criteri di aggiudicazione</w:t>
      </w:r>
    </w:p>
    <w:p w:rsidR="00AF5C23" w:rsidRPr="00E4341B" w:rsidRDefault="00F10EA9" w:rsidP="0076735E">
      <w:pPr>
        <w:pStyle w:val="Text1"/>
        <w:ind w:left="0"/>
        <w:jc w:val="left"/>
        <w:rPr>
          <w:sz w:val="22"/>
          <w:szCs w:val="22"/>
        </w:rPr>
      </w:pPr>
      <w:proofErr w:type="gramStart"/>
      <w:r w:rsidRPr="00E4341B">
        <w:rPr>
          <w:sz w:val="22"/>
        </w:rPr>
        <w:t>Verrà</w:t>
      </w:r>
      <w:proofErr w:type="gramEnd"/>
      <w:r w:rsidRPr="00E4341B">
        <w:rPr>
          <w:sz w:val="22"/>
        </w:rPr>
        <w:t xml:space="preserve"> assegnato un punteggio fino a un massimo di 100 punti secondo il seguente schema di valutazione.</w:t>
      </w:r>
    </w:p>
    <w:p w:rsidR="008C0A13" w:rsidRPr="005A0F78" w:rsidRDefault="00F10EA9" w:rsidP="00871183">
      <w:pPr>
        <w:pStyle w:val="Text1"/>
        <w:spacing w:after="0"/>
        <w:ind w:left="0"/>
        <w:rPr>
          <w:spacing w:val="-3"/>
          <w:sz w:val="22"/>
          <w:szCs w:val="22"/>
        </w:rPr>
      </w:pPr>
      <w:r w:rsidRPr="005A0F78">
        <w:rPr>
          <w:sz w:val="22"/>
          <w:szCs w:val="22"/>
          <w:u w:val="single"/>
        </w:rPr>
        <w:t>Pertinenza e valore aggiunto europeo</w:t>
      </w:r>
      <w:r w:rsidRPr="005A0F78">
        <w:rPr>
          <w:sz w:val="22"/>
          <w:szCs w:val="22"/>
        </w:rPr>
        <w:t xml:space="preserve"> (30 punti)</w:t>
      </w:r>
      <w:r w:rsidR="00D60968">
        <w:rPr>
          <w:sz w:val="22"/>
          <w:szCs w:val="22"/>
        </w:rPr>
        <w:t>:</w:t>
      </w:r>
    </w:p>
    <w:p w:rsidR="004E4528" w:rsidRPr="00E4341B" w:rsidRDefault="004E4528" w:rsidP="00871183">
      <w:pPr>
        <w:pStyle w:val="Text1"/>
        <w:spacing w:after="0"/>
        <w:ind w:left="0"/>
        <w:rPr>
          <w:spacing w:val="-3"/>
          <w:sz w:val="22"/>
          <w:szCs w:val="22"/>
        </w:rPr>
      </w:pPr>
    </w:p>
    <w:p w:rsidR="00A12485" w:rsidRPr="00E4341B" w:rsidRDefault="00F10EA9" w:rsidP="001337F5">
      <w:pPr>
        <w:pStyle w:val="Text1"/>
        <w:ind w:left="0"/>
        <w:rPr>
          <w:spacing w:val="-3"/>
          <w:sz w:val="22"/>
          <w:szCs w:val="22"/>
        </w:rPr>
      </w:pPr>
      <w:r w:rsidRPr="00E4341B">
        <w:rPr>
          <w:sz w:val="22"/>
        </w:rPr>
        <w:t>Questo criterio valuta la pertinenza del contenuto dell’iniziativa rispetto agli obiettivi dell’invito a presentare proposte: in particolare, la pertinenza dei film proposti nel catalogo, la capacità di attuare il progetto a livello europeo e di raggiungere il pubblico destinatario.</w:t>
      </w:r>
    </w:p>
    <w:p w:rsidR="008C0A13" w:rsidRPr="005A0F78" w:rsidRDefault="00F10EA9" w:rsidP="00391C49">
      <w:pPr>
        <w:pStyle w:val="Text1"/>
        <w:spacing w:after="120"/>
        <w:ind w:left="0"/>
        <w:rPr>
          <w:spacing w:val="-3"/>
          <w:sz w:val="22"/>
          <w:szCs w:val="22"/>
        </w:rPr>
      </w:pPr>
      <w:r w:rsidRPr="005A0F78">
        <w:rPr>
          <w:sz w:val="22"/>
          <w:szCs w:val="22"/>
          <w:u w:val="single"/>
        </w:rPr>
        <w:t>Qualità dei contenuti e delle attività</w:t>
      </w:r>
      <w:r w:rsidRPr="005A0F78">
        <w:rPr>
          <w:sz w:val="22"/>
          <w:szCs w:val="22"/>
        </w:rPr>
        <w:t xml:space="preserve"> (30 punti)</w:t>
      </w:r>
      <w:r w:rsidR="00D60968">
        <w:rPr>
          <w:sz w:val="22"/>
          <w:szCs w:val="22"/>
        </w:rPr>
        <w:t>:</w:t>
      </w:r>
    </w:p>
    <w:p w:rsidR="00871183" w:rsidRPr="00E4341B" w:rsidRDefault="00F10EA9" w:rsidP="008C0A13">
      <w:pPr>
        <w:pStyle w:val="Text1"/>
        <w:spacing w:after="0"/>
        <w:ind w:left="0"/>
        <w:rPr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Questo criterio valuta la qualità generale e la fattibilità del progetto, comprese le caratteristiche del catalogo e del materiale pedagogico, l’uso strategico della tecnologia digitale e le diverse piattaforme di distribuzione per raggiungere il pubblico interessato </w:t>
      </w:r>
      <w:proofErr w:type="gramStart"/>
      <w:r w:rsidRPr="00E4341B">
        <w:rPr>
          <w:kern w:val="32"/>
          <w:sz w:val="22"/>
        </w:rPr>
        <w:t>nonché</w:t>
      </w:r>
      <w:proofErr w:type="gramEnd"/>
      <w:r w:rsidRPr="00E4341B">
        <w:rPr>
          <w:kern w:val="32"/>
          <w:sz w:val="22"/>
        </w:rPr>
        <w:t xml:space="preserve"> il modello di consumo proposto.</w:t>
      </w:r>
    </w:p>
    <w:p w:rsidR="001337F5" w:rsidRPr="00E4341B" w:rsidRDefault="001337F5" w:rsidP="008C0A13">
      <w:pPr>
        <w:pStyle w:val="Text1"/>
        <w:spacing w:after="0"/>
        <w:ind w:left="0"/>
        <w:rPr>
          <w:spacing w:val="-3"/>
          <w:sz w:val="22"/>
          <w:szCs w:val="22"/>
        </w:rPr>
      </w:pPr>
    </w:p>
    <w:p w:rsidR="008C0A13" w:rsidRPr="005A0F78" w:rsidRDefault="00F10EA9" w:rsidP="00871183">
      <w:pPr>
        <w:pStyle w:val="Text1"/>
        <w:spacing w:after="120"/>
        <w:ind w:left="0"/>
        <w:rPr>
          <w:spacing w:val="-3"/>
          <w:sz w:val="22"/>
          <w:szCs w:val="22"/>
        </w:rPr>
      </w:pPr>
      <w:r w:rsidRPr="005A0F78">
        <w:rPr>
          <w:sz w:val="22"/>
          <w:szCs w:val="22"/>
          <w:u w:val="single"/>
        </w:rPr>
        <w:t>Divulgazione dei risultati del progetto, impatto e sostenibilità</w:t>
      </w:r>
      <w:r w:rsidRPr="005A0F78">
        <w:rPr>
          <w:sz w:val="22"/>
          <w:szCs w:val="22"/>
        </w:rPr>
        <w:t xml:space="preserve"> (20 punti)</w:t>
      </w:r>
      <w:r w:rsidR="00D60968">
        <w:rPr>
          <w:sz w:val="22"/>
          <w:szCs w:val="22"/>
        </w:rPr>
        <w:t>:</w:t>
      </w:r>
    </w:p>
    <w:p w:rsidR="00391C49" w:rsidRPr="00E4341B" w:rsidRDefault="00F10EA9" w:rsidP="00391C49">
      <w:pPr>
        <w:tabs>
          <w:tab w:val="left" w:pos="4536"/>
        </w:tabs>
        <w:jc w:val="both"/>
        <w:rPr>
          <w:kern w:val="32"/>
          <w:sz w:val="22"/>
          <w:szCs w:val="22"/>
        </w:rPr>
      </w:pPr>
      <w:r w:rsidRPr="00E4341B">
        <w:rPr>
          <w:kern w:val="32"/>
          <w:sz w:val="22"/>
        </w:rPr>
        <w:t xml:space="preserve">Questo criterio valuta le strategie proposte per diffondere il progetto presso le scuole destinatarie </w:t>
      </w:r>
      <w:proofErr w:type="gramStart"/>
      <w:r w:rsidRPr="00E4341B">
        <w:rPr>
          <w:kern w:val="32"/>
          <w:sz w:val="22"/>
        </w:rPr>
        <w:t>nonché</w:t>
      </w:r>
      <w:proofErr w:type="gramEnd"/>
      <w:r w:rsidRPr="00E4341B">
        <w:rPr>
          <w:kern w:val="32"/>
          <w:sz w:val="22"/>
        </w:rPr>
        <w:t xml:space="preserve"> presso il grande pubblico.</w:t>
      </w:r>
    </w:p>
    <w:p w:rsidR="001337F5" w:rsidRPr="00E4341B" w:rsidRDefault="001337F5" w:rsidP="00391C49">
      <w:pPr>
        <w:tabs>
          <w:tab w:val="left" w:pos="4536"/>
        </w:tabs>
        <w:jc w:val="both"/>
        <w:rPr>
          <w:kern w:val="32"/>
          <w:sz w:val="22"/>
          <w:szCs w:val="22"/>
        </w:rPr>
      </w:pPr>
    </w:p>
    <w:p w:rsidR="008C0A13" w:rsidRPr="00E4341B" w:rsidRDefault="00F10EA9" w:rsidP="00391C49">
      <w:pPr>
        <w:tabs>
          <w:tab w:val="left" w:pos="4536"/>
        </w:tabs>
        <w:jc w:val="both"/>
        <w:rPr>
          <w:kern w:val="32"/>
          <w:sz w:val="22"/>
          <w:szCs w:val="22"/>
          <w:u w:val="single"/>
        </w:rPr>
      </w:pPr>
      <w:r w:rsidRPr="00E4341B">
        <w:rPr>
          <w:kern w:val="32"/>
          <w:sz w:val="22"/>
          <w:u w:val="single"/>
        </w:rPr>
        <w:t>Qualità della squadra di progetto e del gruppo (</w:t>
      </w:r>
      <w:proofErr w:type="gramStart"/>
      <w:r w:rsidRPr="00E4341B">
        <w:rPr>
          <w:kern w:val="32"/>
          <w:sz w:val="22"/>
          <w:u w:val="single"/>
        </w:rPr>
        <w:t>massimo 20</w:t>
      </w:r>
      <w:proofErr w:type="gramEnd"/>
      <w:r w:rsidRPr="00E4341B">
        <w:rPr>
          <w:kern w:val="32"/>
          <w:sz w:val="22"/>
          <w:u w:val="single"/>
        </w:rPr>
        <w:t xml:space="preserve"> punti)</w:t>
      </w:r>
      <w:r w:rsidR="00D60968">
        <w:rPr>
          <w:kern w:val="32"/>
          <w:sz w:val="22"/>
          <w:u w:val="single"/>
        </w:rPr>
        <w:t>:</w:t>
      </w:r>
      <w:bookmarkStart w:id="0" w:name="_GoBack"/>
      <w:bookmarkEnd w:id="0"/>
    </w:p>
    <w:p w:rsidR="00A51377" w:rsidRPr="00E4341B" w:rsidRDefault="00A51377" w:rsidP="00391C49">
      <w:pPr>
        <w:tabs>
          <w:tab w:val="left" w:pos="4536"/>
        </w:tabs>
        <w:jc w:val="both"/>
        <w:rPr>
          <w:kern w:val="32"/>
          <w:sz w:val="22"/>
          <w:szCs w:val="22"/>
          <w:u w:val="single"/>
        </w:rPr>
      </w:pPr>
    </w:p>
    <w:p w:rsidR="00871183" w:rsidRPr="00E4341B" w:rsidRDefault="00F10EA9" w:rsidP="001337F5">
      <w:pPr>
        <w:pStyle w:val="Text1"/>
        <w:spacing w:after="0"/>
        <w:ind w:left="0"/>
        <w:rPr>
          <w:sz w:val="22"/>
          <w:szCs w:val="22"/>
        </w:rPr>
      </w:pPr>
      <w:r w:rsidRPr="00E4341B">
        <w:rPr>
          <w:kern w:val="32"/>
          <w:sz w:val="22"/>
        </w:rPr>
        <w:t>Questo criterio terrà conto della portata del partenariato e dello scambio di conoscenze nell’ambito dello stesso nonché della distribuzione dei ruoli e delle responsabilità in relazione agli obiettivi dell’iniziativa.</w:t>
      </w:r>
    </w:p>
    <w:p w:rsidR="00B8390F" w:rsidRPr="00E4341B" w:rsidRDefault="00B8390F" w:rsidP="00B8390F">
      <w:pPr>
        <w:keepNext/>
        <w:numPr>
          <w:ilvl w:val="0"/>
          <w:numId w:val="1"/>
        </w:numPr>
        <w:spacing w:before="240"/>
        <w:jc w:val="both"/>
        <w:outlineLvl w:val="0"/>
        <w:rPr>
          <w:b/>
          <w:smallCaps/>
          <w:sz w:val="22"/>
          <w:szCs w:val="22"/>
          <w:lang w:bidi="ar-SA"/>
        </w:rPr>
      </w:pPr>
      <w:r w:rsidRPr="00E4341B">
        <w:rPr>
          <w:b/>
          <w:smallCaps/>
          <w:sz w:val="22"/>
          <w:szCs w:val="20"/>
          <w:lang w:bidi="ar-SA"/>
        </w:rPr>
        <w:t xml:space="preserve">Dotazione di bilancio </w:t>
      </w:r>
    </w:p>
    <w:p w:rsidR="00B8390F" w:rsidRPr="00E4341B" w:rsidRDefault="00B8390F" w:rsidP="00F10EA9">
      <w:pPr>
        <w:keepNext/>
        <w:spacing w:before="240"/>
        <w:ind w:left="480"/>
        <w:jc w:val="both"/>
        <w:outlineLvl w:val="0"/>
        <w:rPr>
          <w:b/>
          <w:smallCaps/>
          <w:sz w:val="22"/>
          <w:szCs w:val="22"/>
          <w:lang w:bidi="ar-SA"/>
        </w:rPr>
      </w:pPr>
    </w:p>
    <w:p w:rsidR="00B8390F" w:rsidRPr="00E4341B" w:rsidRDefault="00B8390F" w:rsidP="00B8390F">
      <w:pPr>
        <w:suppressAutoHyphens/>
        <w:jc w:val="both"/>
        <w:rPr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La dotazione complessiva disponibile è di </w:t>
      </w:r>
      <w:proofErr w:type="gramStart"/>
      <w:r w:rsidRPr="00E4341B">
        <w:rPr>
          <w:sz w:val="22"/>
          <w:lang w:bidi="ar-SA"/>
        </w:rPr>
        <w:t>1</w:t>
      </w:r>
      <w:proofErr w:type="gramEnd"/>
      <w:r w:rsidRPr="00E4341B">
        <w:rPr>
          <w:sz w:val="22"/>
          <w:lang w:bidi="ar-SA"/>
        </w:rPr>
        <w:t xml:space="preserve"> milione di euro. </w:t>
      </w:r>
    </w:p>
    <w:p w:rsidR="00B8390F" w:rsidRPr="00E4341B" w:rsidRDefault="00B8390F" w:rsidP="00B8390F">
      <w:pPr>
        <w:suppressAutoHyphens/>
        <w:jc w:val="both"/>
        <w:rPr>
          <w:sz w:val="22"/>
          <w:szCs w:val="22"/>
          <w:lang w:bidi="ar-SA"/>
        </w:rPr>
      </w:pPr>
    </w:p>
    <w:p w:rsidR="00B8390F" w:rsidRPr="00E4341B" w:rsidRDefault="00B8390F" w:rsidP="00B8390F">
      <w:pPr>
        <w:jc w:val="both"/>
        <w:rPr>
          <w:rFonts w:eastAsia="Arial Unicode MS"/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Il contributo finanziario dell'Unione non può superare </w:t>
      </w:r>
      <w:proofErr w:type="gramStart"/>
      <w:r w:rsidRPr="00E4341B">
        <w:rPr>
          <w:sz w:val="22"/>
          <w:lang w:bidi="ar-SA"/>
        </w:rPr>
        <w:t>l'80%</w:t>
      </w:r>
      <w:proofErr w:type="gramEnd"/>
      <w:r w:rsidRPr="00E4341B">
        <w:rPr>
          <w:sz w:val="22"/>
          <w:lang w:bidi="ar-SA"/>
        </w:rPr>
        <w:t xml:space="preserve"> dei costi ammissibili totali dell'azione. </w:t>
      </w:r>
    </w:p>
    <w:p w:rsidR="00B8390F" w:rsidRPr="00E4341B" w:rsidRDefault="00B8390F" w:rsidP="00B8390F">
      <w:pPr>
        <w:jc w:val="both"/>
        <w:rPr>
          <w:rFonts w:eastAsia="Arial Unicode MS"/>
          <w:sz w:val="22"/>
          <w:szCs w:val="22"/>
          <w:lang w:bidi="ar-SA"/>
        </w:rPr>
      </w:pPr>
    </w:p>
    <w:p w:rsidR="00B8390F" w:rsidRPr="00E4341B" w:rsidRDefault="00B8390F" w:rsidP="00B8390F">
      <w:pPr>
        <w:keepNext/>
        <w:numPr>
          <w:ilvl w:val="0"/>
          <w:numId w:val="1"/>
        </w:numPr>
        <w:spacing w:before="240" w:after="240"/>
        <w:jc w:val="both"/>
        <w:outlineLvl w:val="0"/>
        <w:rPr>
          <w:b/>
          <w:smallCaps/>
          <w:sz w:val="22"/>
          <w:szCs w:val="22"/>
          <w:lang w:bidi="ar-SA"/>
        </w:rPr>
      </w:pPr>
      <w:r w:rsidRPr="00E4341B">
        <w:rPr>
          <w:b/>
          <w:smallCaps/>
          <w:sz w:val="22"/>
          <w:szCs w:val="20"/>
          <w:lang w:bidi="ar-SA"/>
        </w:rPr>
        <w:lastRenderedPageBreak/>
        <w:t>Termine ultimo per la presentazione delle domande</w:t>
      </w:r>
    </w:p>
    <w:p w:rsidR="00B8390F" w:rsidRPr="00E4341B" w:rsidRDefault="00B8390F" w:rsidP="00B8390F">
      <w:pPr>
        <w:autoSpaceDE w:val="0"/>
        <w:autoSpaceDN w:val="0"/>
        <w:adjustRightInd w:val="0"/>
        <w:spacing w:after="60" w:line="276" w:lineRule="auto"/>
        <w:jc w:val="both"/>
        <w:rPr>
          <w:bCs/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Le proposte devono essere presentate entro le </w:t>
      </w:r>
      <w:r w:rsidRPr="00E4341B">
        <w:rPr>
          <w:b/>
          <w:sz w:val="22"/>
          <w:lang w:bidi="ar-SA"/>
        </w:rPr>
        <w:t>12.00 del 7.3.2019</w:t>
      </w:r>
      <w:r w:rsidRPr="00E4341B">
        <w:rPr>
          <w:sz w:val="22"/>
          <w:lang w:bidi="ar-SA"/>
        </w:rPr>
        <w:t xml:space="preserve"> (mezzogiorno ora di Bruxelles) utilizzando il modulo di domanda online (</w:t>
      </w:r>
      <w:proofErr w:type="spellStart"/>
      <w:proofErr w:type="gramStart"/>
      <w:r w:rsidRPr="00E4341B">
        <w:rPr>
          <w:sz w:val="22"/>
          <w:lang w:bidi="ar-SA"/>
        </w:rPr>
        <w:t>eForm</w:t>
      </w:r>
      <w:proofErr w:type="spellEnd"/>
      <w:proofErr w:type="gramEnd"/>
      <w:r w:rsidRPr="00E4341B">
        <w:rPr>
          <w:sz w:val="22"/>
          <w:lang w:bidi="ar-SA"/>
        </w:rPr>
        <w:t xml:space="preserve">). Non saranno accettate altre </w:t>
      </w:r>
      <w:proofErr w:type="gramStart"/>
      <w:r w:rsidRPr="00E4341B">
        <w:rPr>
          <w:sz w:val="22"/>
          <w:lang w:bidi="ar-SA"/>
        </w:rPr>
        <w:t>modalità</w:t>
      </w:r>
      <w:proofErr w:type="gramEnd"/>
      <w:r w:rsidRPr="00E4341B">
        <w:rPr>
          <w:sz w:val="22"/>
          <w:lang w:bidi="ar-SA"/>
        </w:rPr>
        <w:t xml:space="preserve"> di presentazione delle domande. </w:t>
      </w:r>
    </w:p>
    <w:p w:rsidR="00B8390F" w:rsidRPr="00E4341B" w:rsidRDefault="00B8390F" w:rsidP="00B8390F">
      <w:pPr>
        <w:autoSpaceDE w:val="0"/>
        <w:autoSpaceDN w:val="0"/>
        <w:adjustRightInd w:val="0"/>
        <w:spacing w:after="60" w:line="276" w:lineRule="auto"/>
        <w:jc w:val="both"/>
        <w:rPr>
          <w:bCs/>
          <w:sz w:val="22"/>
          <w:szCs w:val="22"/>
          <w:lang w:bidi="ar-SA"/>
        </w:rPr>
      </w:pPr>
      <w:r w:rsidRPr="00E4341B">
        <w:rPr>
          <w:sz w:val="22"/>
          <w:lang w:bidi="ar-SA"/>
        </w:rPr>
        <w:t xml:space="preserve">I candidati </w:t>
      </w:r>
      <w:proofErr w:type="gramStart"/>
      <w:r w:rsidRPr="00E4341B">
        <w:rPr>
          <w:sz w:val="22"/>
          <w:lang w:bidi="ar-SA"/>
        </w:rPr>
        <w:t>provvedono ad allegare</w:t>
      </w:r>
      <w:proofErr w:type="gramEnd"/>
      <w:r w:rsidRPr="00E4341B">
        <w:rPr>
          <w:sz w:val="22"/>
          <w:lang w:bidi="ar-SA"/>
        </w:rPr>
        <w:t xml:space="preserve"> tutti i documenti richiesti e menzionati nei moduli online.</w:t>
      </w:r>
    </w:p>
    <w:p w:rsidR="00B8390F" w:rsidRPr="00E4341B" w:rsidRDefault="00B8390F" w:rsidP="00B8390F">
      <w:pPr>
        <w:keepNext/>
        <w:numPr>
          <w:ilvl w:val="0"/>
          <w:numId w:val="1"/>
        </w:numPr>
        <w:spacing w:before="240" w:after="240"/>
        <w:jc w:val="both"/>
        <w:outlineLvl w:val="0"/>
        <w:rPr>
          <w:b/>
          <w:smallCaps/>
          <w:sz w:val="22"/>
          <w:szCs w:val="22"/>
          <w:lang w:bidi="ar-SA"/>
        </w:rPr>
      </w:pPr>
      <w:proofErr w:type="gramStart"/>
      <w:r w:rsidRPr="00E4341B">
        <w:rPr>
          <w:b/>
          <w:smallCaps/>
          <w:sz w:val="22"/>
          <w:szCs w:val="20"/>
          <w:lang w:bidi="ar-SA"/>
        </w:rPr>
        <w:t>ulteriori</w:t>
      </w:r>
      <w:proofErr w:type="gramEnd"/>
      <w:r w:rsidRPr="00E4341B">
        <w:rPr>
          <w:b/>
          <w:smallCaps/>
          <w:sz w:val="22"/>
          <w:szCs w:val="20"/>
          <w:lang w:bidi="ar-SA"/>
        </w:rPr>
        <w:t xml:space="preserve"> informazioni</w:t>
      </w:r>
    </w:p>
    <w:p w:rsidR="00D55C5E" w:rsidRPr="00E4341B" w:rsidRDefault="00B8390F" w:rsidP="00B8390F">
      <w:pPr>
        <w:pStyle w:val="Text1"/>
        <w:ind w:left="0"/>
        <w:rPr>
          <w:sz w:val="22"/>
          <w:szCs w:val="22"/>
        </w:rPr>
      </w:pPr>
      <w:r w:rsidRPr="00E4341B">
        <w:rPr>
          <w:sz w:val="22"/>
          <w:lang w:bidi="ar-SA"/>
        </w:rPr>
        <w:t>Il testo integrale delle linee guida per la presentazione delle candidature e i relativi moduli sono disponibili al seguente indirizzo Internet</w:t>
      </w:r>
      <w:r w:rsidR="00F10EA9" w:rsidRPr="00E4341B">
        <w:rPr>
          <w:sz w:val="22"/>
        </w:rPr>
        <w:t>:</w:t>
      </w:r>
    </w:p>
    <w:p w:rsidR="00C3529D" w:rsidRPr="00E4341B" w:rsidRDefault="00D60968" w:rsidP="00DA688A">
      <w:pPr>
        <w:spacing w:after="100" w:afterAutospacing="1"/>
        <w:rPr>
          <w:rFonts w:eastAsia="Calibri"/>
          <w:sz w:val="22"/>
          <w:szCs w:val="22"/>
        </w:rPr>
      </w:pPr>
      <w:hyperlink r:id="rId11" w:history="1">
        <w:r w:rsidR="00187E99" w:rsidRPr="00E4341B">
          <w:rPr>
            <w:rStyle w:val="Hyperlink"/>
            <w:color w:val="auto"/>
            <w:sz w:val="22"/>
          </w:rPr>
          <w:t>https://eacea.ec.europa.eu/creative-europe/funding/support-for-film-education-2019_en</w:t>
        </w:r>
      </w:hyperlink>
    </w:p>
    <w:p w:rsidR="00DA688A" w:rsidRPr="00E4341B" w:rsidRDefault="00DA688A" w:rsidP="00DA688A">
      <w:pPr>
        <w:pStyle w:val="Text1"/>
        <w:spacing w:after="100" w:afterAutospacing="1"/>
        <w:ind w:left="0"/>
        <w:rPr>
          <w:sz w:val="22"/>
          <w:szCs w:val="22"/>
        </w:rPr>
      </w:pPr>
    </w:p>
    <w:p w:rsidR="00B8390F" w:rsidRPr="005579D8" w:rsidRDefault="00B8390F" w:rsidP="00B8390F">
      <w:pPr>
        <w:jc w:val="both"/>
        <w:rPr>
          <w:sz w:val="22"/>
          <w:szCs w:val="22"/>
          <w:lang w:bidi="ar-SA"/>
        </w:rPr>
      </w:pPr>
      <w:r w:rsidRPr="00E4341B">
        <w:rPr>
          <w:sz w:val="22"/>
          <w:szCs w:val="20"/>
          <w:lang w:bidi="ar-SA"/>
        </w:rPr>
        <w:t xml:space="preserve">Le candidature devono soddisfare tutte le condizioni indicate nelle linee guida e vanno presentate utilizzando </w:t>
      </w:r>
      <w:proofErr w:type="gramStart"/>
      <w:r w:rsidRPr="00E4341B">
        <w:rPr>
          <w:sz w:val="22"/>
          <w:szCs w:val="20"/>
          <w:lang w:bidi="ar-SA"/>
        </w:rPr>
        <w:t>gli appositi moduli online</w:t>
      </w:r>
      <w:proofErr w:type="gramEnd"/>
      <w:r w:rsidRPr="00E4341B">
        <w:rPr>
          <w:sz w:val="22"/>
          <w:szCs w:val="20"/>
          <w:lang w:bidi="ar-SA"/>
        </w:rPr>
        <w:t>.</w:t>
      </w:r>
    </w:p>
    <w:p w:rsidR="00014E12" w:rsidRPr="00E4341B" w:rsidRDefault="00014E12" w:rsidP="00DA688A">
      <w:pPr>
        <w:pStyle w:val="Text1"/>
        <w:spacing w:after="100" w:afterAutospacing="1"/>
        <w:ind w:left="0"/>
        <w:rPr>
          <w:sz w:val="22"/>
          <w:szCs w:val="22"/>
        </w:rPr>
      </w:pPr>
    </w:p>
    <w:p w:rsidR="0096458A" w:rsidRPr="00E4341B" w:rsidRDefault="0096458A" w:rsidP="00DA688A">
      <w:pPr>
        <w:pStyle w:val="Text1"/>
        <w:spacing w:after="100" w:afterAutospacing="1"/>
        <w:ind w:left="0"/>
        <w:rPr>
          <w:sz w:val="22"/>
          <w:szCs w:val="22"/>
        </w:rPr>
      </w:pPr>
    </w:p>
    <w:p w:rsidR="003A3F2C" w:rsidRPr="00E4341B" w:rsidRDefault="003A3F2C" w:rsidP="0096458A">
      <w:pPr>
        <w:tabs>
          <w:tab w:val="left" w:pos="360"/>
        </w:tabs>
        <w:suppressAutoHyphens/>
        <w:jc w:val="both"/>
        <w:rPr>
          <w:sz w:val="22"/>
          <w:szCs w:val="22"/>
        </w:rPr>
      </w:pPr>
    </w:p>
    <w:sectPr w:rsidR="003A3F2C" w:rsidRPr="00E4341B" w:rsidSect="00DC11B4">
      <w:footerReference w:type="default" r:id="rId12"/>
      <w:headerReference w:type="first" r:id="rId13"/>
      <w:pgSz w:w="11906" w:h="16838"/>
      <w:pgMar w:top="720" w:right="1418" w:bottom="1418" w:left="1622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1C" w:rsidRDefault="00F10EA9">
      <w:r>
        <w:separator/>
      </w:r>
    </w:p>
  </w:endnote>
  <w:endnote w:type="continuationSeparator" w:id="0">
    <w:p w:rsidR="0030351C" w:rsidRDefault="00F1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92" w:rsidRPr="00BC11F3" w:rsidRDefault="00F10EA9">
    <w:pPr>
      <w:pStyle w:val="Footer"/>
      <w:jc w:val="center"/>
    </w:pPr>
    <w:r w:rsidRPr="00BC11F3">
      <w:fldChar w:fldCharType="begin"/>
    </w:r>
    <w:r w:rsidRPr="00BC11F3">
      <w:instrText>PAGE</w:instrText>
    </w:r>
    <w:r w:rsidRPr="00BC11F3">
      <w:fldChar w:fldCharType="separate"/>
    </w:r>
    <w:r w:rsidR="00D60968">
      <w:rPr>
        <w:noProof/>
      </w:rPr>
      <w:t>4</w:t>
    </w:r>
    <w:r w:rsidRPr="00BC11F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A3" w:rsidRPr="00BC11F3" w:rsidRDefault="00F10EA9">
      <w:r w:rsidRPr="00BC11F3">
        <w:separator/>
      </w:r>
    </w:p>
  </w:footnote>
  <w:footnote w:type="continuationSeparator" w:id="0">
    <w:p w:rsidR="00A273A3" w:rsidRPr="00BC11F3" w:rsidRDefault="00F10EA9">
      <w:r w:rsidRPr="00BC11F3">
        <w:continuationSeparator/>
      </w:r>
    </w:p>
  </w:footnote>
  <w:footnote w:id="1">
    <w:p w:rsidR="004A06B7" w:rsidRPr="0032143D" w:rsidRDefault="004A06B7" w:rsidP="004A06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2143D">
        <w:t>R</w:t>
      </w:r>
      <w:r>
        <w:t>egolamento</w:t>
      </w:r>
      <w:r w:rsidRPr="0032143D">
        <w:t xml:space="preserve"> (UE) N. 1295/2013, Gazzetta</w:t>
      </w:r>
      <w:r>
        <w:t xml:space="preserve"> ufficiale dell’Unione europea del</w:t>
      </w:r>
      <w:r w:rsidRPr="0032143D">
        <w:t xml:space="preserve"> 20/12/2013, (GU L347/221)</w:t>
      </w:r>
      <w:r>
        <w:t xml:space="preserve"> e 27/06/2014 (GU L189/260).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92" w:rsidRPr="00BC11F3" w:rsidRDefault="00A53692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81D18DB"/>
    <w:multiLevelType w:val="hybridMultilevel"/>
    <w:tmpl w:val="E752C2B8"/>
    <w:lvl w:ilvl="0" w:tplc="035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05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EC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6EC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4C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8A7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3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6D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E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391B7A0E"/>
    <w:multiLevelType w:val="hybridMultilevel"/>
    <w:tmpl w:val="81840D6E"/>
    <w:lvl w:ilvl="0" w:tplc="B0A8CD3E">
      <w:numFmt w:val="bullet"/>
      <w:lvlText w:val="−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1" w:tplc="3C86543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10B2E7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B008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3440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7A581D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F4F3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949BB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D9BEEA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7773D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A81597E"/>
    <w:multiLevelType w:val="hybridMultilevel"/>
    <w:tmpl w:val="01E60D0E"/>
    <w:lvl w:ilvl="0" w:tplc="678E3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1EA5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2EEA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56A4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C420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7643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E69F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602F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0F84E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8B0F40"/>
    <w:multiLevelType w:val="hybridMultilevel"/>
    <w:tmpl w:val="BB52D7F8"/>
    <w:lvl w:ilvl="0" w:tplc="05FAA1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C4A03A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BA4FC3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FB28B1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87C6C5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E22FB5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DE888BC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9CE795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D6606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551D52"/>
    <w:multiLevelType w:val="hybridMultilevel"/>
    <w:tmpl w:val="B4B4D77A"/>
    <w:lvl w:ilvl="0" w:tplc="37786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0C808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A6C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A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6D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C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C9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5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CF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C3C49"/>
    <w:multiLevelType w:val="hybridMultilevel"/>
    <w:tmpl w:val="EE2C9F3C"/>
    <w:lvl w:ilvl="0" w:tplc="E8EA0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098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4ABD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BC64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44420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47610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E58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22F5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405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7B4BF1"/>
    <w:multiLevelType w:val="multilevel"/>
    <w:tmpl w:val="5F2ECC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3683A31"/>
    <w:multiLevelType w:val="hybridMultilevel"/>
    <w:tmpl w:val="34B80252"/>
    <w:lvl w:ilvl="0" w:tplc="9C0A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2205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A2AD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369E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06AD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9A31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784A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B4F5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B233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C410D1"/>
    <w:multiLevelType w:val="hybridMultilevel"/>
    <w:tmpl w:val="91B8C9F8"/>
    <w:lvl w:ilvl="0" w:tplc="92CE7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A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DD80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E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A3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9629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40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66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0E68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D3A91"/>
    <w:rsid w:val="000139A4"/>
    <w:rsid w:val="00014E12"/>
    <w:rsid w:val="000326AE"/>
    <w:rsid w:val="000367C2"/>
    <w:rsid w:val="000712E5"/>
    <w:rsid w:val="00087213"/>
    <w:rsid w:val="000D117E"/>
    <w:rsid w:val="000D2A53"/>
    <w:rsid w:val="000D358E"/>
    <w:rsid w:val="000D59EB"/>
    <w:rsid w:val="000F463D"/>
    <w:rsid w:val="001013E3"/>
    <w:rsid w:val="00102725"/>
    <w:rsid w:val="00103C35"/>
    <w:rsid w:val="00110CB6"/>
    <w:rsid w:val="00131FFA"/>
    <w:rsid w:val="001321C7"/>
    <w:rsid w:val="001337F5"/>
    <w:rsid w:val="001360F6"/>
    <w:rsid w:val="00140416"/>
    <w:rsid w:val="0014201D"/>
    <w:rsid w:val="001525A6"/>
    <w:rsid w:val="001619A7"/>
    <w:rsid w:val="0016754B"/>
    <w:rsid w:val="00170481"/>
    <w:rsid w:val="00174730"/>
    <w:rsid w:val="00187E99"/>
    <w:rsid w:val="0019247B"/>
    <w:rsid w:val="001C20C1"/>
    <w:rsid w:val="001C5F4F"/>
    <w:rsid w:val="001D3A91"/>
    <w:rsid w:val="001D4CB3"/>
    <w:rsid w:val="001F6C65"/>
    <w:rsid w:val="00200B40"/>
    <w:rsid w:val="00231D21"/>
    <w:rsid w:val="002354C5"/>
    <w:rsid w:val="0024257B"/>
    <w:rsid w:val="002530EB"/>
    <w:rsid w:val="00257C3F"/>
    <w:rsid w:val="00263741"/>
    <w:rsid w:val="00265FC8"/>
    <w:rsid w:val="00274AFC"/>
    <w:rsid w:val="002770B7"/>
    <w:rsid w:val="002829E3"/>
    <w:rsid w:val="002B1AE9"/>
    <w:rsid w:val="002B2FDD"/>
    <w:rsid w:val="002B5835"/>
    <w:rsid w:val="002C7CB3"/>
    <w:rsid w:val="002F184D"/>
    <w:rsid w:val="002F5B32"/>
    <w:rsid w:val="002F7522"/>
    <w:rsid w:val="0030351C"/>
    <w:rsid w:val="00304B25"/>
    <w:rsid w:val="00316225"/>
    <w:rsid w:val="00330A1B"/>
    <w:rsid w:val="00355E87"/>
    <w:rsid w:val="00365F32"/>
    <w:rsid w:val="003665DD"/>
    <w:rsid w:val="00366E1D"/>
    <w:rsid w:val="00391C49"/>
    <w:rsid w:val="003954EC"/>
    <w:rsid w:val="003A3873"/>
    <w:rsid w:val="003A3F2C"/>
    <w:rsid w:val="003A696E"/>
    <w:rsid w:val="003B0D4C"/>
    <w:rsid w:val="003C1454"/>
    <w:rsid w:val="003D7A91"/>
    <w:rsid w:val="003E65AD"/>
    <w:rsid w:val="003F134E"/>
    <w:rsid w:val="003F31B0"/>
    <w:rsid w:val="00412EDA"/>
    <w:rsid w:val="004212B4"/>
    <w:rsid w:val="00463907"/>
    <w:rsid w:val="00463A5B"/>
    <w:rsid w:val="004763FC"/>
    <w:rsid w:val="00483686"/>
    <w:rsid w:val="0048665C"/>
    <w:rsid w:val="00491101"/>
    <w:rsid w:val="004A06B7"/>
    <w:rsid w:val="004C5BE1"/>
    <w:rsid w:val="004E4528"/>
    <w:rsid w:val="004F044D"/>
    <w:rsid w:val="004F6432"/>
    <w:rsid w:val="0050746C"/>
    <w:rsid w:val="00515FFF"/>
    <w:rsid w:val="00533123"/>
    <w:rsid w:val="0053771A"/>
    <w:rsid w:val="00553451"/>
    <w:rsid w:val="00560DB5"/>
    <w:rsid w:val="00562159"/>
    <w:rsid w:val="00563D1A"/>
    <w:rsid w:val="00566828"/>
    <w:rsid w:val="005674F5"/>
    <w:rsid w:val="005821E2"/>
    <w:rsid w:val="00594581"/>
    <w:rsid w:val="005A03E5"/>
    <w:rsid w:val="005A0F78"/>
    <w:rsid w:val="005B7436"/>
    <w:rsid w:val="005C4334"/>
    <w:rsid w:val="005C584D"/>
    <w:rsid w:val="005E2D66"/>
    <w:rsid w:val="00607245"/>
    <w:rsid w:val="00607333"/>
    <w:rsid w:val="00614C33"/>
    <w:rsid w:val="00617396"/>
    <w:rsid w:val="00635F12"/>
    <w:rsid w:val="00645A25"/>
    <w:rsid w:val="006616F7"/>
    <w:rsid w:val="00665F40"/>
    <w:rsid w:val="00681362"/>
    <w:rsid w:val="0068309E"/>
    <w:rsid w:val="00685621"/>
    <w:rsid w:val="006A347D"/>
    <w:rsid w:val="006A4776"/>
    <w:rsid w:val="006D3D38"/>
    <w:rsid w:val="006E0A7B"/>
    <w:rsid w:val="006E198C"/>
    <w:rsid w:val="006F6954"/>
    <w:rsid w:val="007140B8"/>
    <w:rsid w:val="00721299"/>
    <w:rsid w:val="00750E95"/>
    <w:rsid w:val="00756DC4"/>
    <w:rsid w:val="00757599"/>
    <w:rsid w:val="007602BF"/>
    <w:rsid w:val="00762491"/>
    <w:rsid w:val="0076735E"/>
    <w:rsid w:val="00783C00"/>
    <w:rsid w:val="007B723F"/>
    <w:rsid w:val="007C3810"/>
    <w:rsid w:val="007C4BDF"/>
    <w:rsid w:val="007C5CE1"/>
    <w:rsid w:val="007D237B"/>
    <w:rsid w:val="007D33E7"/>
    <w:rsid w:val="007D365D"/>
    <w:rsid w:val="007D6F6A"/>
    <w:rsid w:val="007E0A08"/>
    <w:rsid w:val="007E4A90"/>
    <w:rsid w:val="007F0228"/>
    <w:rsid w:val="007F4444"/>
    <w:rsid w:val="007F6C1E"/>
    <w:rsid w:val="00813E16"/>
    <w:rsid w:val="00822761"/>
    <w:rsid w:val="00825DE3"/>
    <w:rsid w:val="00826586"/>
    <w:rsid w:val="00831D1F"/>
    <w:rsid w:val="0084211A"/>
    <w:rsid w:val="00853934"/>
    <w:rsid w:val="008549E3"/>
    <w:rsid w:val="00855F24"/>
    <w:rsid w:val="008631AC"/>
    <w:rsid w:val="00863699"/>
    <w:rsid w:val="00871183"/>
    <w:rsid w:val="00874F47"/>
    <w:rsid w:val="0087746D"/>
    <w:rsid w:val="00877585"/>
    <w:rsid w:val="00894959"/>
    <w:rsid w:val="008A2999"/>
    <w:rsid w:val="008A4A65"/>
    <w:rsid w:val="008B0B7E"/>
    <w:rsid w:val="008B6DC5"/>
    <w:rsid w:val="008B76CC"/>
    <w:rsid w:val="008C0A13"/>
    <w:rsid w:val="008C3941"/>
    <w:rsid w:val="008D11CF"/>
    <w:rsid w:val="008D62D7"/>
    <w:rsid w:val="008E264D"/>
    <w:rsid w:val="008F16A7"/>
    <w:rsid w:val="00904D3C"/>
    <w:rsid w:val="00917608"/>
    <w:rsid w:val="00921EF1"/>
    <w:rsid w:val="00934976"/>
    <w:rsid w:val="00955235"/>
    <w:rsid w:val="00955B80"/>
    <w:rsid w:val="0096458A"/>
    <w:rsid w:val="00965D7D"/>
    <w:rsid w:val="00982E09"/>
    <w:rsid w:val="0098315E"/>
    <w:rsid w:val="009D1C88"/>
    <w:rsid w:val="009F69BA"/>
    <w:rsid w:val="009F6FA7"/>
    <w:rsid w:val="009F7072"/>
    <w:rsid w:val="00A12485"/>
    <w:rsid w:val="00A22197"/>
    <w:rsid w:val="00A244D2"/>
    <w:rsid w:val="00A2579D"/>
    <w:rsid w:val="00A273A3"/>
    <w:rsid w:val="00A309B1"/>
    <w:rsid w:val="00A457A3"/>
    <w:rsid w:val="00A51377"/>
    <w:rsid w:val="00A52FA1"/>
    <w:rsid w:val="00A53692"/>
    <w:rsid w:val="00A614FA"/>
    <w:rsid w:val="00A64687"/>
    <w:rsid w:val="00A83F52"/>
    <w:rsid w:val="00AB23EA"/>
    <w:rsid w:val="00AD2D83"/>
    <w:rsid w:val="00AF5C23"/>
    <w:rsid w:val="00AF64DE"/>
    <w:rsid w:val="00B02C2E"/>
    <w:rsid w:val="00B0535E"/>
    <w:rsid w:val="00B07C5A"/>
    <w:rsid w:val="00B32DBE"/>
    <w:rsid w:val="00B3628F"/>
    <w:rsid w:val="00B500F0"/>
    <w:rsid w:val="00B550DA"/>
    <w:rsid w:val="00B636D9"/>
    <w:rsid w:val="00B713B1"/>
    <w:rsid w:val="00B8390F"/>
    <w:rsid w:val="00B84162"/>
    <w:rsid w:val="00B922D3"/>
    <w:rsid w:val="00BA4BDA"/>
    <w:rsid w:val="00BB2109"/>
    <w:rsid w:val="00BB3FA3"/>
    <w:rsid w:val="00BB3FAB"/>
    <w:rsid w:val="00BB41E1"/>
    <w:rsid w:val="00BB7CEF"/>
    <w:rsid w:val="00BC02BE"/>
    <w:rsid w:val="00BC11F3"/>
    <w:rsid w:val="00BD2185"/>
    <w:rsid w:val="00BE506E"/>
    <w:rsid w:val="00BF18CD"/>
    <w:rsid w:val="00C00493"/>
    <w:rsid w:val="00C0092D"/>
    <w:rsid w:val="00C3529D"/>
    <w:rsid w:val="00C41382"/>
    <w:rsid w:val="00C45963"/>
    <w:rsid w:val="00C7792F"/>
    <w:rsid w:val="00C90BF0"/>
    <w:rsid w:val="00C951D7"/>
    <w:rsid w:val="00CA5889"/>
    <w:rsid w:val="00CA787D"/>
    <w:rsid w:val="00CB5CAE"/>
    <w:rsid w:val="00CC4639"/>
    <w:rsid w:val="00CC668B"/>
    <w:rsid w:val="00CE4ACE"/>
    <w:rsid w:val="00CE52DB"/>
    <w:rsid w:val="00CF2DAD"/>
    <w:rsid w:val="00D1151F"/>
    <w:rsid w:val="00D222B1"/>
    <w:rsid w:val="00D22463"/>
    <w:rsid w:val="00D23CA4"/>
    <w:rsid w:val="00D23D31"/>
    <w:rsid w:val="00D30949"/>
    <w:rsid w:val="00D33A55"/>
    <w:rsid w:val="00D52B30"/>
    <w:rsid w:val="00D55C5E"/>
    <w:rsid w:val="00D5616F"/>
    <w:rsid w:val="00D56982"/>
    <w:rsid w:val="00D60968"/>
    <w:rsid w:val="00D6275F"/>
    <w:rsid w:val="00D649A4"/>
    <w:rsid w:val="00D65CA4"/>
    <w:rsid w:val="00D81E66"/>
    <w:rsid w:val="00D96266"/>
    <w:rsid w:val="00DA688A"/>
    <w:rsid w:val="00DA752B"/>
    <w:rsid w:val="00DB0753"/>
    <w:rsid w:val="00DB205D"/>
    <w:rsid w:val="00DB2D04"/>
    <w:rsid w:val="00DB4372"/>
    <w:rsid w:val="00DC11B4"/>
    <w:rsid w:val="00DD474D"/>
    <w:rsid w:val="00DD7C63"/>
    <w:rsid w:val="00DE1519"/>
    <w:rsid w:val="00DE3936"/>
    <w:rsid w:val="00DE798C"/>
    <w:rsid w:val="00DF5485"/>
    <w:rsid w:val="00E20271"/>
    <w:rsid w:val="00E27EAE"/>
    <w:rsid w:val="00E352C4"/>
    <w:rsid w:val="00E40C20"/>
    <w:rsid w:val="00E42458"/>
    <w:rsid w:val="00E42571"/>
    <w:rsid w:val="00E4341B"/>
    <w:rsid w:val="00E55640"/>
    <w:rsid w:val="00E57C78"/>
    <w:rsid w:val="00E62528"/>
    <w:rsid w:val="00E6289F"/>
    <w:rsid w:val="00E733B7"/>
    <w:rsid w:val="00E74D9D"/>
    <w:rsid w:val="00E914AA"/>
    <w:rsid w:val="00E979A3"/>
    <w:rsid w:val="00EA2BD4"/>
    <w:rsid w:val="00EB0042"/>
    <w:rsid w:val="00EB0D1E"/>
    <w:rsid w:val="00EB31E1"/>
    <w:rsid w:val="00EC4C18"/>
    <w:rsid w:val="00EE2EE5"/>
    <w:rsid w:val="00F0047E"/>
    <w:rsid w:val="00F10EA9"/>
    <w:rsid w:val="00F128A2"/>
    <w:rsid w:val="00F16A9D"/>
    <w:rsid w:val="00F16E7A"/>
    <w:rsid w:val="00F21915"/>
    <w:rsid w:val="00F24CA7"/>
    <w:rsid w:val="00F466AF"/>
    <w:rsid w:val="00F6117D"/>
    <w:rsid w:val="00F77666"/>
    <w:rsid w:val="00F8428C"/>
    <w:rsid w:val="00F96311"/>
    <w:rsid w:val="00F96761"/>
    <w:rsid w:val="00FA07B8"/>
    <w:rsid w:val="00FA104D"/>
    <w:rsid w:val="00FD0D67"/>
    <w:rsid w:val="00FD693E"/>
    <w:rsid w:val="00FE6EF9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B30"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rsid w:val="0048665C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qFormat/>
    <w:rsid w:val="0048665C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8665C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8665C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8665C"/>
    <w:pPr>
      <w:spacing w:after="240"/>
      <w:ind w:left="482"/>
      <w:jc w:val="both"/>
    </w:pPr>
    <w:rPr>
      <w:szCs w:val="20"/>
    </w:rPr>
  </w:style>
  <w:style w:type="paragraph" w:styleId="Footer">
    <w:name w:val="footer"/>
    <w:basedOn w:val="Normal"/>
    <w:rsid w:val="0048665C"/>
    <w:pPr>
      <w:ind w:right="-567"/>
    </w:pPr>
    <w:rPr>
      <w:rFonts w:ascii="Arial" w:hAnsi="Arial"/>
      <w:sz w:val="16"/>
      <w:szCs w:val="20"/>
    </w:rPr>
  </w:style>
  <w:style w:type="paragraph" w:styleId="Header">
    <w:name w:val="header"/>
    <w:basedOn w:val="Normal"/>
    <w:rsid w:val="0048665C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paragraph" w:customStyle="1" w:styleId="ListBullet1">
    <w:name w:val="List Bullet 1"/>
    <w:basedOn w:val="Text1"/>
    <w:rsid w:val="0048665C"/>
    <w:pPr>
      <w:numPr>
        <w:numId w:val="2"/>
      </w:numPr>
    </w:pPr>
  </w:style>
  <w:style w:type="paragraph" w:customStyle="1" w:styleId="SectionTitle">
    <w:name w:val="SectionTitle"/>
    <w:basedOn w:val="Normal"/>
    <w:next w:val="Heading1"/>
    <w:rsid w:val="0048665C"/>
    <w:pPr>
      <w:keepNext/>
      <w:spacing w:after="480"/>
      <w:jc w:val="center"/>
    </w:pPr>
    <w:rPr>
      <w:b/>
      <w:smallCaps/>
      <w:sz w:val="28"/>
      <w:szCs w:val="20"/>
    </w:rPr>
  </w:style>
  <w:style w:type="character" w:styleId="Hyperlink">
    <w:name w:val="Hyperlink"/>
    <w:rsid w:val="00D55C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15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Char Char Char Char Char Char Char Char Char,Char Char Char Char Char Char Char1 Char Char Char,Footnote Text Char Char Char Char,Footnote Text Char1 Char Char,Hyperlink1 Char,Schriftart: 10 pt Char,Schriftart: 8 pt Char,o Char"/>
    <w:link w:val="FootnoteText"/>
    <w:locked/>
    <w:rsid w:val="00E57C78"/>
  </w:style>
  <w:style w:type="paragraph" w:styleId="FootnoteText">
    <w:name w:val="footnote text"/>
    <w:aliases w:val="Char Char Char Char Char Char Char Char,Char Char Char Char Char Char Char1 Char Char,Footnote Text Char Char Char,Footnote Text Char1 Char,Hyperlink1,Schriftart: 10 pt,Schriftart: 8 pt,Schriftart: 9 pt,Tekst przypisu,WB-Fußnotentext,o"/>
    <w:basedOn w:val="Normal"/>
    <w:link w:val="FootnoteTextChar"/>
    <w:unhideWhenUsed/>
    <w:qFormat/>
    <w:rsid w:val="00E57C78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E57C78"/>
  </w:style>
  <w:style w:type="character" w:styleId="FootnoteReference">
    <w:name w:val="footnote reference"/>
    <w:aliases w:val="Footnote symbol,Odwołanie przypisu"/>
    <w:uiPriority w:val="99"/>
    <w:unhideWhenUsed/>
    <w:rsid w:val="00E57C78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link w:val="Heading1"/>
    <w:rsid w:val="00B07C5A"/>
    <w:rPr>
      <w:b/>
      <w:smallCaps/>
      <w:sz w:val="24"/>
      <w:lang w:eastAsia="it-IT"/>
    </w:rPr>
  </w:style>
  <w:style w:type="character" w:styleId="CommentReference">
    <w:name w:val="annotation reference"/>
    <w:rsid w:val="00EB31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1E1"/>
  </w:style>
  <w:style w:type="paragraph" w:styleId="CommentSubject">
    <w:name w:val="annotation subject"/>
    <w:basedOn w:val="CommentText"/>
    <w:next w:val="CommentText"/>
    <w:link w:val="CommentSubjectChar"/>
    <w:rsid w:val="00EB31E1"/>
    <w:rPr>
      <w:b/>
      <w:bCs/>
    </w:rPr>
  </w:style>
  <w:style w:type="character" w:customStyle="1" w:styleId="CommentSubjectChar">
    <w:name w:val="Comment Subject Char"/>
    <w:link w:val="CommentSubject"/>
    <w:rsid w:val="00EB31E1"/>
    <w:rPr>
      <w:b/>
      <w:bCs/>
    </w:rPr>
  </w:style>
  <w:style w:type="character" w:styleId="FollowedHyperlink">
    <w:name w:val="FollowedHyperlink"/>
    <w:rsid w:val="00AB23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B30"/>
    <w:rPr>
      <w:sz w:val="24"/>
      <w:szCs w:val="24"/>
    </w:rPr>
  </w:style>
  <w:style w:type="paragraph" w:styleId="Heading1">
    <w:name w:val="heading 1"/>
    <w:basedOn w:val="Normal"/>
    <w:next w:val="Text1"/>
    <w:link w:val="Heading1Char"/>
    <w:qFormat/>
    <w:rsid w:val="0048665C"/>
    <w:pPr>
      <w:keepNext/>
      <w:numPr>
        <w:numId w:val="1"/>
      </w:numPr>
      <w:spacing w:before="240" w:after="240"/>
      <w:jc w:val="both"/>
      <w:outlineLvl w:val="0"/>
    </w:pPr>
    <w:rPr>
      <w:b/>
      <w:smallCaps/>
      <w:szCs w:val="20"/>
    </w:rPr>
  </w:style>
  <w:style w:type="paragraph" w:styleId="Heading2">
    <w:name w:val="heading 2"/>
    <w:basedOn w:val="Normal"/>
    <w:next w:val="Normal"/>
    <w:qFormat/>
    <w:rsid w:val="0048665C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8665C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</w:rPr>
  </w:style>
  <w:style w:type="paragraph" w:styleId="Heading4">
    <w:name w:val="heading 4"/>
    <w:basedOn w:val="Normal"/>
    <w:next w:val="Normal"/>
    <w:qFormat/>
    <w:rsid w:val="0048665C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8665C"/>
    <w:pPr>
      <w:spacing w:after="240"/>
      <w:ind w:left="482"/>
      <w:jc w:val="both"/>
    </w:pPr>
    <w:rPr>
      <w:szCs w:val="20"/>
    </w:rPr>
  </w:style>
  <w:style w:type="paragraph" w:styleId="Footer">
    <w:name w:val="footer"/>
    <w:basedOn w:val="Normal"/>
    <w:rsid w:val="0048665C"/>
    <w:pPr>
      <w:ind w:right="-567"/>
    </w:pPr>
    <w:rPr>
      <w:rFonts w:ascii="Arial" w:hAnsi="Arial"/>
      <w:sz w:val="16"/>
      <w:szCs w:val="20"/>
    </w:rPr>
  </w:style>
  <w:style w:type="paragraph" w:styleId="Header">
    <w:name w:val="header"/>
    <w:basedOn w:val="Normal"/>
    <w:rsid w:val="0048665C"/>
    <w:pPr>
      <w:tabs>
        <w:tab w:val="center" w:pos="4153"/>
        <w:tab w:val="right" w:pos="8306"/>
      </w:tabs>
      <w:spacing w:after="240"/>
      <w:jc w:val="both"/>
    </w:pPr>
    <w:rPr>
      <w:szCs w:val="20"/>
    </w:rPr>
  </w:style>
  <w:style w:type="paragraph" w:customStyle="1" w:styleId="ListBullet1">
    <w:name w:val="List Bullet 1"/>
    <w:basedOn w:val="Text1"/>
    <w:rsid w:val="0048665C"/>
    <w:pPr>
      <w:numPr>
        <w:numId w:val="2"/>
      </w:numPr>
    </w:pPr>
  </w:style>
  <w:style w:type="paragraph" w:customStyle="1" w:styleId="SectionTitle">
    <w:name w:val="SectionTitle"/>
    <w:basedOn w:val="Normal"/>
    <w:next w:val="Heading1"/>
    <w:rsid w:val="0048665C"/>
    <w:pPr>
      <w:keepNext/>
      <w:spacing w:after="480"/>
      <w:jc w:val="center"/>
    </w:pPr>
    <w:rPr>
      <w:b/>
      <w:smallCaps/>
      <w:sz w:val="28"/>
      <w:szCs w:val="20"/>
    </w:rPr>
  </w:style>
  <w:style w:type="character" w:styleId="Hyperlink">
    <w:name w:val="Hyperlink"/>
    <w:rsid w:val="00D55C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3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15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Char Char Char Char Char Char Char Char Char,Char Char Char Char Char Char Char1 Char Char Char,Footnote Text Char Char Char Char,Footnote Text Char1 Char Char,Hyperlink1 Char,Schriftart: 10 pt Char,Schriftart: 8 pt Char,o Char"/>
    <w:link w:val="FootnoteText"/>
    <w:locked/>
    <w:rsid w:val="00E57C78"/>
  </w:style>
  <w:style w:type="paragraph" w:styleId="FootnoteText">
    <w:name w:val="footnote text"/>
    <w:aliases w:val="Char Char Char Char Char Char Char Char,Char Char Char Char Char Char Char1 Char Char,Footnote Text Char Char Char,Footnote Text Char1 Char,Hyperlink1,Schriftart: 10 pt,Schriftart: 8 pt,Schriftart: 9 pt,Tekst przypisu,WB-Fußnotentext,o"/>
    <w:basedOn w:val="Normal"/>
    <w:link w:val="FootnoteTextChar"/>
    <w:unhideWhenUsed/>
    <w:qFormat/>
    <w:rsid w:val="00E57C78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E57C78"/>
  </w:style>
  <w:style w:type="character" w:styleId="FootnoteReference">
    <w:name w:val="footnote reference"/>
    <w:aliases w:val="Footnote symbol,Odwołanie przypisu"/>
    <w:uiPriority w:val="99"/>
    <w:unhideWhenUsed/>
    <w:rsid w:val="00E57C78"/>
    <w:rPr>
      <w:rFonts w:ascii="Times New Roman" w:hAnsi="Times New Roman" w:cs="Times New Roman" w:hint="default"/>
      <w:vertAlign w:val="superscript"/>
    </w:rPr>
  </w:style>
  <w:style w:type="character" w:customStyle="1" w:styleId="Heading1Char">
    <w:name w:val="Heading 1 Char"/>
    <w:link w:val="Heading1"/>
    <w:rsid w:val="00B07C5A"/>
    <w:rPr>
      <w:b/>
      <w:smallCaps/>
      <w:sz w:val="24"/>
      <w:lang w:eastAsia="it-IT"/>
    </w:rPr>
  </w:style>
  <w:style w:type="character" w:styleId="CommentReference">
    <w:name w:val="annotation reference"/>
    <w:rsid w:val="00EB31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3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31E1"/>
  </w:style>
  <w:style w:type="paragraph" w:styleId="CommentSubject">
    <w:name w:val="annotation subject"/>
    <w:basedOn w:val="CommentText"/>
    <w:next w:val="CommentText"/>
    <w:link w:val="CommentSubjectChar"/>
    <w:rsid w:val="00EB31E1"/>
    <w:rPr>
      <w:b/>
      <w:bCs/>
    </w:rPr>
  </w:style>
  <w:style w:type="character" w:customStyle="1" w:styleId="CommentSubjectChar">
    <w:name w:val="Comment Subject Char"/>
    <w:link w:val="CommentSubject"/>
    <w:rsid w:val="00EB31E1"/>
    <w:rPr>
      <w:b/>
      <w:bCs/>
    </w:rPr>
  </w:style>
  <w:style w:type="character" w:styleId="FollowedHyperlink">
    <w:name w:val="FollowedHyperlink"/>
    <w:rsid w:val="00AB23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cea.ec.europa.eu/creative-europe/funding/support-for-film-education-2019_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acea.ec.europa.eu/creative-europe/library/eligibility-organisations-non-eu-countries_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4184-5C2E-417A-A068-FEA2F83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1160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– DG EAC N° 87/2004</vt:lpstr>
    </vt:vector>
  </TitlesOfParts>
  <Company>CDT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– DG EAC N° 87/2004</dc:title>
  <dc:creator>CDT</dc:creator>
  <cp:lastModifiedBy>TRUNFIO Letizia (EACEA)</cp:lastModifiedBy>
  <cp:revision>12</cp:revision>
  <cp:lastPrinted>2015-10-16T08:20:00Z</cp:lastPrinted>
  <dcterms:created xsi:type="dcterms:W3CDTF">2018-09-20T09:41:00Z</dcterms:created>
  <dcterms:modified xsi:type="dcterms:W3CDTF">2018-09-27T15:35:00Z</dcterms:modified>
</cp:coreProperties>
</file>